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C4B" w:rsidRPr="00490DE3" w:rsidRDefault="00BD6C4B" w:rsidP="00BD6C4B">
      <w:pPr>
        <w:spacing w:before="240" w:after="60"/>
        <w:jc w:val="center"/>
        <w:outlineLvl w:val="0"/>
        <w:rPr>
          <w:rFonts w:ascii="Cambria" w:eastAsia="Times New Roman" w:hAnsi="Cambria" w:cs="Times New Roman"/>
          <w:b/>
          <w:bCs/>
          <w:kern w:val="28"/>
          <w:sz w:val="32"/>
          <w:szCs w:val="32"/>
        </w:rPr>
      </w:pPr>
      <w:r w:rsidRPr="00490DE3">
        <w:rPr>
          <w:rFonts w:ascii="Cambria" w:eastAsia="Times New Roman" w:hAnsi="Cambria" w:cs="Times New Roman"/>
          <w:b/>
          <w:bCs/>
          <w:kern w:val="28"/>
          <w:sz w:val="32"/>
          <w:szCs w:val="32"/>
        </w:rPr>
        <w:t>LSUHSC-SOM Faculty Assembly</w:t>
      </w:r>
    </w:p>
    <w:p w:rsidR="00BD6C4B" w:rsidRDefault="00BD6C4B" w:rsidP="00BD6C4B">
      <w:pPr>
        <w:jc w:val="center"/>
        <w:rPr>
          <w:rFonts w:ascii="Times New Roman" w:eastAsia="Times New Roman" w:hAnsi="Times New Roman" w:cs="Times New Roman"/>
          <w:sz w:val="24"/>
          <w:szCs w:val="24"/>
        </w:rPr>
      </w:pPr>
      <w:r w:rsidRPr="00490DE3">
        <w:rPr>
          <w:rFonts w:ascii="Times New Roman" w:eastAsia="Times New Roman" w:hAnsi="Times New Roman" w:cs="Times New Roman"/>
          <w:sz w:val="24"/>
          <w:szCs w:val="24"/>
        </w:rPr>
        <w:t>Meeting Minutes</w:t>
      </w:r>
    </w:p>
    <w:p w:rsidR="00BD6C4B" w:rsidRDefault="00BD6C4B" w:rsidP="00BD6C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10, 2011</w:t>
      </w:r>
    </w:p>
    <w:p w:rsidR="00BD6C4B" w:rsidRPr="00BD6C4B" w:rsidRDefault="00BD6C4B" w:rsidP="00BD6C4B">
      <w:pPr>
        <w:keepNext/>
        <w:spacing w:after="240"/>
        <w:ind w:left="90"/>
        <w:outlineLvl w:val="2"/>
        <w:rPr>
          <w:rFonts w:ascii="Calibri" w:eastAsia="Times New Roman" w:hAnsi="Calibri" w:cs="Calibri"/>
          <w:b/>
          <w:bCs/>
          <w:color w:val="4F81BD"/>
          <w:sz w:val="24"/>
          <w:szCs w:val="24"/>
        </w:rPr>
      </w:pPr>
      <w:r w:rsidRPr="00BD6C4B">
        <w:rPr>
          <w:rFonts w:ascii="Calibri" w:eastAsia="Times New Roman" w:hAnsi="Calibri" w:cs="Calibri"/>
          <w:b/>
          <w:bCs/>
          <w:color w:val="4F81BD"/>
          <w:sz w:val="24"/>
          <w:szCs w:val="24"/>
        </w:rPr>
        <w:t>Opening:</w:t>
      </w:r>
    </w:p>
    <w:p w:rsidR="00BD6C4B" w:rsidRDefault="00BD6C4B" w:rsidP="00BD6C4B">
      <w:pPr>
        <w:ind w:left="90"/>
        <w:rPr>
          <w:rFonts w:ascii="Calibri" w:hAnsi="Calibri" w:cs="Calibri"/>
        </w:rPr>
      </w:pPr>
      <w:r w:rsidRPr="00BD6C4B">
        <w:rPr>
          <w:rFonts w:ascii="Calibri" w:hAnsi="Calibri" w:cs="Calibri"/>
        </w:rPr>
        <w:t>The regular meeting of the LSUHSC-SOM Faculty Assembly was called to order at 4:0</w:t>
      </w:r>
      <w:r>
        <w:rPr>
          <w:rFonts w:ascii="Calibri" w:hAnsi="Calibri" w:cs="Calibri"/>
        </w:rPr>
        <w:t>5</w:t>
      </w:r>
      <w:r w:rsidRPr="00BD6C4B">
        <w:rPr>
          <w:rFonts w:ascii="Calibri" w:hAnsi="Calibri" w:cs="Calibri"/>
        </w:rPr>
        <w:t xml:space="preserve"> p</w:t>
      </w:r>
      <w:r>
        <w:rPr>
          <w:rFonts w:ascii="Calibri" w:hAnsi="Calibri" w:cs="Calibri"/>
        </w:rPr>
        <w:t>.</w:t>
      </w:r>
      <w:r w:rsidRPr="00BD6C4B">
        <w:rPr>
          <w:rFonts w:ascii="Calibri" w:hAnsi="Calibri" w:cs="Calibri"/>
        </w:rPr>
        <w:t>m</w:t>
      </w:r>
      <w:r>
        <w:rPr>
          <w:rFonts w:ascii="Calibri" w:hAnsi="Calibri" w:cs="Calibri"/>
        </w:rPr>
        <w:t>.</w:t>
      </w:r>
      <w:r w:rsidRPr="00BD6C4B">
        <w:rPr>
          <w:rFonts w:ascii="Calibri" w:hAnsi="Calibri" w:cs="Calibri"/>
        </w:rPr>
        <w:t xml:space="preserve"> on </w:t>
      </w:r>
      <w:r>
        <w:rPr>
          <w:rFonts w:ascii="Calibri" w:hAnsi="Calibri" w:cs="Calibri"/>
        </w:rPr>
        <w:t xml:space="preserve">November 10, </w:t>
      </w:r>
      <w:r w:rsidRPr="00BD6C4B">
        <w:rPr>
          <w:rFonts w:ascii="Calibri" w:hAnsi="Calibri" w:cs="Calibri"/>
        </w:rPr>
        <w:t>2011 in Room 544 of the Lions Building by Dr. Greg Bagby.</w:t>
      </w:r>
    </w:p>
    <w:p w:rsidR="00BD6C4B" w:rsidRPr="00BD6C4B" w:rsidRDefault="00BD6C4B" w:rsidP="00BD6C4B">
      <w:pPr>
        <w:ind w:left="90"/>
        <w:rPr>
          <w:rFonts w:ascii="Calibri" w:hAnsi="Calibri" w:cs="Calibri"/>
        </w:rPr>
      </w:pPr>
    </w:p>
    <w:p w:rsidR="00BD6C4B" w:rsidRPr="00BD6C4B" w:rsidRDefault="00BD6C4B" w:rsidP="00BD6C4B">
      <w:pPr>
        <w:keepNext/>
        <w:spacing w:after="240"/>
        <w:ind w:left="90"/>
        <w:outlineLvl w:val="2"/>
        <w:rPr>
          <w:rFonts w:ascii="Calibri" w:eastAsia="Times New Roman" w:hAnsi="Calibri" w:cs="Calibri"/>
          <w:b/>
          <w:bCs/>
          <w:color w:val="4F81BD"/>
          <w:sz w:val="24"/>
          <w:szCs w:val="24"/>
        </w:rPr>
      </w:pPr>
      <w:r w:rsidRPr="00BD6C4B">
        <w:rPr>
          <w:rFonts w:ascii="Calibri" w:eastAsia="Times New Roman" w:hAnsi="Calibri" w:cs="Calibri"/>
          <w:b/>
          <w:bCs/>
          <w:color w:val="4F81BD"/>
          <w:sz w:val="24"/>
          <w:szCs w:val="24"/>
        </w:rPr>
        <w:t xml:space="preserve">In Attendance: </w:t>
      </w:r>
    </w:p>
    <w:p w:rsidR="00BD6C4B" w:rsidRPr="00BD6C4B" w:rsidRDefault="00BD6C4B" w:rsidP="00BD6C4B">
      <w:pPr>
        <w:ind w:left="360"/>
        <w:contextualSpacing/>
        <w:rPr>
          <w:rFonts w:ascii="Calibri" w:hAnsi="Calibri" w:cs="Calibri"/>
        </w:rPr>
      </w:pPr>
      <w:r w:rsidRPr="00BD6C4B">
        <w:rPr>
          <w:rFonts w:ascii="Calibri" w:hAnsi="Calibri" w:cs="Calibri"/>
          <w:b/>
        </w:rPr>
        <w:t>Present</w:t>
      </w:r>
      <w:r w:rsidRPr="00BD6C4B">
        <w:rPr>
          <w:rFonts w:ascii="Calibri" w:hAnsi="Calibri" w:cs="Calibri"/>
        </w:rPr>
        <w:t xml:space="preserve">:  </w:t>
      </w:r>
      <w:r w:rsidR="00D27976">
        <w:rPr>
          <w:rFonts w:ascii="Calibri" w:hAnsi="Calibri" w:cs="Calibri"/>
        </w:rPr>
        <w:t>Avegno,</w:t>
      </w:r>
      <w:r w:rsidR="00D27976" w:rsidRPr="00BD6C4B">
        <w:rPr>
          <w:rFonts w:ascii="Calibri" w:hAnsi="Calibri" w:cs="Calibri"/>
        </w:rPr>
        <w:t xml:space="preserve"> </w:t>
      </w:r>
      <w:r w:rsidR="00D27976">
        <w:rPr>
          <w:rFonts w:ascii="Calibri" w:hAnsi="Calibri" w:cs="Calibri"/>
        </w:rPr>
        <w:t xml:space="preserve">Jennifer; </w:t>
      </w:r>
      <w:r w:rsidR="00081FC6" w:rsidRPr="00081FC6">
        <w:rPr>
          <w:rFonts w:ascii="Calibri" w:hAnsi="Calibri" w:cs="Calibri"/>
        </w:rPr>
        <w:t>Bagby, Gregory</w:t>
      </w:r>
      <w:r w:rsidR="00081FC6">
        <w:rPr>
          <w:rFonts w:ascii="Calibri" w:hAnsi="Calibri" w:cs="Calibri"/>
        </w:rPr>
        <w:t>;</w:t>
      </w:r>
      <w:r w:rsidR="00081FC6" w:rsidRPr="00BD6C4B">
        <w:rPr>
          <w:rFonts w:ascii="Calibri" w:hAnsi="Calibri" w:cs="Calibri"/>
        </w:rPr>
        <w:t xml:space="preserve"> </w:t>
      </w:r>
      <w:r w:rsidRPr="00BD6C4B">
        <w:rPr>
          <w:rFonts w:ascii="Calibri" w:hAnsi="Calibri" w:cs="Calibri"/>
        </w:rPr>
        <w:t>Boulmay, Brian;</w:t>
      </w:r>
      <w:r w:rsidR="001107CB">
        <w:rPr>
          <w:rFonts w:ascii="Calibri" w:hAnsi="Calibri" w:cs="Calibri"/>
        </w:rPr>
        <w:t xml:space="preserve"> </w:t>
      </w:r>
      <w:r w:rsidRPr="00BD6C4B">
        <w:rPr>
          <w:rFonts w:ascii="Calibri" w:hAnsi="Calibri" w:cs="Calibri"/>
        </w:rPr>
        <w:t>Brierre, Stephen; Conrad,</w:t>
      </w:r>
      <w:r w:rsidR="008F3E00">
        <w:rPr>
          <w:rFonts w:ascii="Calibri" w:hAnsi="Calibri" w:cs="Calibri"/>
        </w:rPr>
        <w:t xml:space="preserve"> </w:t>
      </w:r>
      <w:r w:rsidR="00D27976">
        <w:rPr>
          <w:rFonts w:ascii="Calibri" w:hAnsi="Calibri" w:cs="Calibri"/>
        </w:rPr>
        <w:t xml:space="preserve">Erich; </w:t>
      </w:r>
      <w:r w:rsidR="008F3E00">
        <w:rPr>
          <w:rFonts w:ascii="Calibri" w:hAnsi="Calibri" w:cs="Calibri"/>
        </w:rPr>
        <w:t xml:space="preserve">Dimitriades, Costa; </w:t>
      </w:r>
      <w:r w:rsidRPr="00BD6C4B">
        <w:rPr>
          <w:rFonts w:ascii="Calibri" w:hAnsi="Calibri" w:cs="Calibri"/>
        </w:rPr>
        <w:t xml:space="preserve"> Cormier, Stephania; </w:t>
      </w:r>
      <w:r w:rsidR="008F3E00">
        <w:rPr>
          <w:rFonts w:ascii="Calibri" w:hAnsi="Calibri" w:cs="Calibri"/>
        </w:rPr>
        <w:t xml:space="preserve">Crabtree, Judy; </w:t>
      </w:r>
      <w:r w:rsidR="001107CB" w:rsidRPr="00BD6C4B">
        <w:rPr>
          <w:rFonts w:ascii="Calibri" w:hAnsi="Calibri" w:cs="Calibri"/>
        </w:rPr>
        <w:t>Engel, Lee</w:t>
      </w:r>
      <w:r w:rsidR="001107CB">
        <w:rPr>
          <w:rFonts w:ascii="Calibri" w:hAnsi="Calibri" w:cs="Calibri"/>
        </w:rPr>
        <w:t>;</w:t>
      </w:r>
      <w:r w:rsidR="001107CB" w:rsidRPr="00BD6C4B">
        <w:rPr>
          <w:rFonts w:ascii="Calibri" w:hAnsi="Calibri" w:cs="Calibri"/>
        </w:rPr>
        <w:t xml:space="preserve"> </w:t>
      </w:r>
      <w:r w:rsidRPr="00BD6C4B">
        <w:rPr>
          <w:rFonts w:ascii="Calibri" w:hAnsi="Calibri" w:cs="Calibri"/>
        </w:rPr>
        <w:t>Erny, Eirinn</w:t>
      </w:r>
      <w:r w:rsidR="001107CB">
        <w:rPr>
          <w:rFonts w:ascii="Calibri" w:hAnsi="Calibri" w:cs="Calibri"/>
        </w:rPr>
        <w:t>;</w:t>
      </w:r>
      <w:r w:rsidRPr="00BD6C4B">
        <w:rPr>
          <w:rFonts w:ascii="Calibri" w:hAnsi="Calibri" w:cs="Calibri"/>
        </w:rPr>
        <w:t xml:space="preserve"> </w:t>
      </w:r>
      <w:r w:rsidR="00D27976">
        <w:rPr>
          <w:rFonts w:ascii="Calibri" w:hAnsi="Calibri" w:cs="Calibri"/>
        </w:rPr>
        <w:t xml:space="preserve">Foster, Timothy; </w:t>
      </w:r>
      <w:r w:rsidRPr="00BD6C4B">
        <w:rPr>
          <w:rFonts w:ascii="Calibri" w:hAnsi="Calibri" w:cs="Calibri"/>
        </w:rPr>
        <w:t xml:space="preserve">Happel, Kyle; Holman, Stacey; </w:t>
      </w:r>
      <w:r w:rsidR="00081FC6" w:rsidRPr="00081FC6">
        <w:rPr>
          <w:rFonts w:ascii="Calibri" w:hAnsi="Calibri" w:cs="Calibri"/>
        </w:rPr>
        <w:t>Howes, Richard;</w:t>
      </w:r>
      <w:r w:rsidR="00081FC6">
        <w:rPr>
          <w:rFonts w:ascii="Calibri" w:hAnsi="Calibri" w:cs="Calibri"/>
        </w:rPr>
        <w:t xml:space="preserve"> </w:t>
      </w:r>
      <w:r w:rsidRPr="00BD6C4B">
        <w:rPr>
          <w:rFonts w:ascii="Calibri" w:hAnsi="Calibri" w:cs="Calibri"/>
        </w:rPr>
        <w:t>Hunt, John; Kantrow, Stephen; Levitzky, Mike</w:t>
      </w:r>
      <w:r w:rsidR="00835461">
        <w:rPr>
          <w:rFonts w:ascii="Calibri" w:hAnsi="Calibri" w:cs="Calibri"/>
        </w:rPr>
        <w:t>; Lo-Blais, Betty;</w:t>
      </w:r>
      <w:r w:rsidR="008F3E00">
        <w:rPr>
          <w:rFonts w:ascii="Calibri" w:hAnsi="Calibri" w:cs="Calibri"/>
        </w:rPr>
        <w:t xml:space="preserve"> McDermott, Diana</w:t>
      </w:r>
      <w:r w:rsidR="00D27976">
        <w:rPr>
          <w:rFonts w:ascii="Calibri" w:hAnsi="Calibri" w:cs="Calibri"/>
        </w:rPr>
        <w:t>; McGoey, Robin; Neumann, Donna</w:t>
      </w:r>
    </w:p>
    <w:p w:rsidR="00BD6C4B" w:rsidRPr="00BD6C4B" w:rsidRDefault="00BD6C4B" w:rsidP="00BD6C4B">
      <w:pPr>
        <w:tabs>
          <w:tab w:val="left" w:pos="3030"/>
        </w:tabs>
        <w:ind w:left="360"/>
        <w:contextualSpacing/>
        <w:rPr>
          <w:rFonts w:ascii="Calibri" w:hAnsi="Calibri" w:cs="Calibri"/>
        </w:rPr>
      </w:pPr>
      <w:r w:rsidRPr="00BD6C4B">
        <w:rPr>
          <w:rFonts w:ascii="Calibri" w:hAnsi="Calibri" w:cs="Calibri"/>
        </w:rPr>
        <w:tab/>
      </w:r>
    </w:p>
    <w:p w:rsidR="00BD6C4B" w:rsidRDefault="00BD6C4B" w:rsidP="00BD6C4B">
      <w:pPr>
        <w:ind w:left="360"/>
        <w:contextualSpacing/>
        <w:rPr>
          <w:rFonts w:ascii="Calibri" w:hAnsi="Calibri" w:cs="Calibri"/>
        </w:rPr>
      </w:pPr>
      <w:r w:rsidRPr="00BD6C4B">
        <w:rPr>
          <w:rFonts w:ascii="Calibri" w:hAnsi="Calibri" w:cs="Calibri"/>
          <w:b/>
        </w:rPr>
        <w:t>Absent</w:t>
      </w:r>
      <w:r w:rsidR="00D27976">
        <w:rPr>
          <w:rFonts w:ascii="Calibri" w:hAnsi="Calibri" w:cs="Calibri"/>
        </w:rPr>
        <w:t xml:space="preserve">: </w:t>
      </w:r>
      <w:r w:rsidR="00081FC6" w:rsidRPr="00081FC6">
        <w:rPr>
          <w:rFonts w:ascii="Calibri" w:hAnsi="Calibri" w:cs="Calibri"/>
        </w:rPr>
        <w:t xml:space="preserve">Kapusta, Dan; Velez-Yanguas, Maria; </w:t>
      </w:r>
      <w:bookmarkStart w:id="0" w:name="_GoBack"/>
      <w:bookmarkEnd w:id="0"/>
      <w:r w:rsidR="00081FC6" w:rsidRPr="00081FC6">
        <w:rPr>
          <w:rFonts w:ascii="Calibri" w:hAnsi="Calibri" w:cs="Calibri"/>
        </w:rPr>
        <w:t>Breslin, Jerome</w:t>
      </w:r>
    </w:p>
    <w:p w:rsidR="00E46C07" w:rsidRDefault="00E46C07" w:rsidP="00BD6C4B">
      <w:pPr>
        <w:ind w:left="360"/>
        <w:contextualSpacing/>
        <w:rPr>
          <w:rFonts w:ascii="Calibri" w:hAnsi="Calibri" w:cs="Calibri"/>
          <w:b/>
        </w:rPr>
      </w:pPr>
    </w:p>
    <w:p w:rsidR="008F3E00" w:rsidRDefault="00BD6C4B" w:rsidP="00BD6C4B">
      <w:pPr>
        <w:ind w:left="360"/>
        <w:contextualSpacing/>
        <w:rPr>
          <w:rFonts w:ascii="Calibri" w:hAnsi="Calibri" w:cs="Calibri"/>
        </w:rPr>
      </w:pPr>
      <w:r w:rsidRPr="00BD6C4B">
        <w:rPr>
          <w:rFonts w:ascii="Calibri" w:hAnsi="Calibri" w:cs="Calibri"/>
          <w:b/>
        </w:rPr>
        <w:t>Proxies</w:t>
      </w:r>
      <w:r w:rsidRPr="00BD6C4B">
        <w:rPr>
          <w:rFonts w:ascii="Calibri" w:hAnsi="Calibri" w:cs="Calibri"/>
        </w:rPr>
        <w:t xml:space="preserve">: </w:t>
      </w:r>
      <w:r w:rsidR="00081FC6">
        <w:rPr>
          <w:rFonts w:ascii="Calibri" w:hAnsi="Calibri" w:cs="Calibri"/>
        </w:rPr>
        <w:t xml:space="preserve">Stephania Cormier for Andrew Hollenbach; </w:t>
      </w:r>
      <w:r w:rsidR="00D27976">
        <w:rPr>
          <w:rFonts w:ascii="Calibri" w:hAnsi="Calibri" w:cs="Calibri"/>
        </w:rPr>
        <w:t>Timothy Foster for</w:t>
      </w:r>
      <w:r w:rsidRPr="00BD6C4B">
        <w:rPr>
          <w:rFonts w:ascii="Calibri" w:hAnsi="Calibri" w:cs="Calibri"/>
        </w:rPr>
        <w:t xml:space="preserve"> </w:t>
      </w:r>
      <w:r w:rsidR="008F3E00">
        <w:rPr>
          <w:rFonts w:ascii="Calibri" w:hAnsi="Calibri" w:cs="Calibri"/>
        </w:rPr>
        <w:t xml:space="preserve">Joy </w:t>
      </w:r>
      <w:r w:rsidR="00D27976">
        <w:rPr>
          <w:rFonts w:ascii="Calibri" w:hAnsi="Calibri" w:cs="Calibri"/>
        </w:rPr>
        <w:t>Sturtevant</w:t>
      </w:r>
      <w:r w:rsidR="008F3E00">
        <w:rPr>
          <w:rFonts w:ascii="Calibri" w:hAnsi="Calibri" w:cs="Calibri"/>
        </w:rPr>
        <w:t xml:space="preserve">; </w:t>
      </w:r>
      <w:r w:rsidR="00D27976">
        <w:rPr>
          <w:rFonts w:ascii="Calibri" w:hAnsi="Calibri" w:cs="Calibri"/>
        </w:rPr>
        <w:t xml:space="preserve">Donna Neumann for </w:t>
      </w:r>
      <w:r w:rsidR="008F3E00">
        <w:rPr>
          <w:rFonts w:ascii="Calibri" w:hAnsi="Calibri" w:cs="Calibri"/>
        </w:rPr>
        <w:t>Andrew Catling; Robin McGoey</w:t>
      </w:r>
      <w:r w:rsidR="00D27976" w:rsidRPr="00D27976">
        <w:rPr>
          <w:rFonts w:ascii="Calibri" w:hAnsi="Calibri" w:cs="Calibri"/>
        </w:rPr>
        <w:t xml:space="preserve"> </w:t>
      </w:r>
      <w:r w:rsidR="00D27976">
        <w:rPr>
          <w:rFonts w:ascii="Calibri" w:hAnsi="Calibri" w:cs="Calibri"/>
        </w:rPr>
        <w:t xml:space="preserve">for Peter Winsauer; </w:t>
      </w:r>
      <w:r w:rsidR="008F3E00">
        <w:rPr>
          <w:rFonts w:ascii="Calibri" w:hAnsi="Calibri" w:cs="Calibri"/>
        </w:rPr>
        <w:t>Jennifer Avegno</w:t>
      </w:r>
      <w:r w:rsidR="00D27976">
        <w:rPr>
          <w:rFonts w:ascii="Calibri" w:hAnsi="Calibri" w:cs="Calibri"/>
        </w:rPr>
        <w:t xml:space="preserve"> for </w:t>
      </w:r>
      <w:r w:rsidR="00D27976" w:rsidRPr="00272180">
        <w:rPr>
          <w:rFonts w:ascii="Calibri" w:eastAsia="Times New Roman" w:hAnsi="Calibri" w:cs="Calibri"/>
          <w:bCs/>
          <w:sz w:val="24"/>
          <w:szCs w:val="24"/>
        </w:rPr>
        <w:t>Murtuza</w:t>
      </w:r>
      <w:r w:rsidR="00835461">
        <w:rPr>
          <w:rFonts w:ascii="Calibri" w:eastAsia="Times New Roman" w:hAnsi="Calibri" w:cs="Calibri"/>
          <w:bCs/>
          <w:sz w:val="24"/>
          <w:szCs w:val="24"/>
        </w:rPr>
        <w:t xml:space="preserve"> Ali</w:t>
      </w:r>
      <w:r w:rsidR="008F3E00">
        <w:rPr>
          <w:rFonts w:ascii="Calibri" w:hAnsi="Calibri" w:cs="Calibri"/>
        </w:rPr>
        <w:t>; Betty Lo-Blais</w:t>
      </w:r>
      <w:r w:rsidR="00835461">
        <w:rPr>
          <w:rFonts w:ascii="Calibri" w:hAnsi="Calibri" w:cs="Calibri"/>
        </w:rPr>
        <w:t xml:space="preserve"> for Amy Gutierrez</w:t>
      </w:r>
      <w:r w:rsidR="008F3E00">
        <w:rPr>
          <w:rFonts w:ascii="Calibri" w:hAnsi="Calibri" w:cs="Calibri"/>
        </w:rPr>
        <w:t>.</w:t>
      </w:r>
    </w:p>
    <w:p w:rsidR="00D27976" w:rsidRDefault="00D27976" w:rsidP="00D27976">
      <w:pPr>
        <w:pStyle w:val="ListParagraph"/>
        <w:ind w:left="360"/>
        <w:rPr>
          <w:rFonts w:cstheme="minorHAnsi"/>
          <w:b/>
        </w:rPr>
      </w:pPr>
    </w:p>
    <w:p w:rsidR="00D27976" w:rsidRPr="00171309" w:rsidRDefault="00D27976" w:rsidP="00D27976">
      <w:pPr>
        <w:pStyle w:val="ListParagraph"/>
        <w:ind w:left="360"/>
        <w:rPr>
          <w:rFonts w:cstheme="minorHAnsi"/>
        </w:rPr>
      </w:pPr>
      <w:r>
        <w:rPr>
          <w:rFonts w:cstheme="minorHAnsi"/>
          <w:b/>
        </w:rPr>
        <w:t>Non-D</w:t>
      </w:r>
      <w:r w:rsidRPr="00002DEF">
        <w:rPr>
          <w:rFonts w:cstheme="minorHAnsi"/>
          <w:b/>
        </w:rPr>
        <w:t>elegate Faculty Present</w:t>
      </w:r>
      <w:r>
        <w:rPr>
          <w:rFonts w:cstheme="minorHAnsi"/>
          <w:b/>
        </w:rPr>
        <w:t>:</w:t>
      </w:r>
      <w:r w:rsidRPr="00C94860">
        <w:rPr>
          <w:rFonts w:cstheme="minorHAnsi"/>
        </w:rPr>
        <w:t xml:space="preserve"> </w:t>
      </w:r>
      <w:r>
        <w:rPr>
          <w:rFonts w:cstheme="minorHAnsi"/>
        </w:rPr>
        <w:t>Dimitriades, Costa (SOM Senator to HSC Faculty Senate)</w:t>
      </w:r>
    </w:p>
    <w:p w:rsidR="008F3E00" w:rsidRDefault="008F3E00" w:rsidP="00BD6C4B">
      <w:pPr>
        <w:ind w:left="360"/>
        <w:contextualSpacing/>
        <w:rPr>
          <w:rFonts w:ascii="Calibri" w:hAnsi="Calibri" w:cs="Calibri"/>
        </w:rPr>
      </w:pPr>
    </w:p>
    <w:p w:rsidR="008F3E00" w:rsidRDefault="008F3E00" w:rsidP="00E46C07">
      <w:pPr>
        <w:contextualSpacing/>
        <w:rPr>
          <w:rFonts w:ascii="Calibri" w:hAnsi="Calibri" w:cs="Calibri"/>
        </w:rPr>
      </w:pPr>
      <w:r w:rsidRPr="00C069AC">
        <w:rPr>
          <w:rFonts w:ascii="Calibri" w:hAnsi="Calibri" w:cs="Calibri"/>
          <w:b/>
          <w:color w:val="548DD4" w:themeColor="text2" w:themeTint="99"/>
        </w:rPr>
        <w:t>1.</w:t>
      </w:r>
      <w:r w:rsidRPr="00C069AC">
        <w:rPr>
          <w:rFonts w:ascii="Calibri" w:hAnsi="Calibri" w:cs="Calibri"/>
          <w:b/>
          <w:color w:val="548DD4" w:themeColor="text2" w:themeTint="99"/>
        </w:rPr>
        <w:tab/>
        <w:t>Introduction of guests</w:t>
      </w:r>
      <w:r w:rsidRPr="00C069AC">
        <w:rPr>
          <w:rFonts w:ascii="Calibri" w:hAnsi="Calibri" w:cs="Calibri"/>
          <w:color w:val="548DD4" w:themeColor="text2" w:themeTint="99"/>
        </w:rPr>
        <w:t xml:space="preserve"> </w:t>
      </w:r>
      <w:r>
        <w:rPr>
          <w:rFonts w:ascii="Calibri" w:hAnsi="Calibri" w:cs="Calibri"/>
        </w:rPr>
        <w:t>– Steve Nelson, M.D., Dean of the School of Medicine</w:t>
      </w:r>
    </w:p>
    <w:p w:rsidR="008F3E00" w:rsidRDefault="008F3E00" w:rsidP="008F3E00">
      <w:pPr>
        <w:contextualSpacing/>
        <w:rPr>
          <w:rFonts w:ascii="Calibri" w:hAnsi="Calibri" w:cs="Calibri"/>
        </w:rPr>
      </w:pPr>
    </w:p>
    <w:p w:rsidR="002E1F32" w:rsidRDefault="008F3E00" w:rsidP="007F7C06">
      <w:pPr>
        <w:contextualSpacing/>
        <w:rPr>
          <w:rFonts w:ascii="Calibri" w:hAnsi="Calibri" w:cs="Calibri"/>
        </w:rPr>
      </w:pPr>
      <w:r w:rsidRPr="00C069AC">
        <w:rPr>
          <w:rFonts w:ascii="Calibri" w:hAnsi="Calibri" w:cs="Calibri"/>
          <w:b/>
          <w:color w:val="548DD4" w:themeColor="text2" w:themeTint="99"/>
        </w:rPr>
        <w:t>2.</w:t>
      </w:r>
      <w:r w:rsidRPr="00C069AC">
        <w:rPr>
          <w:rFonts w:ascii="Calibri" w:hAnsi="Calibri" w:cs="Calibri"/>
          <w:b/>
          <w:color w:val="548DD4" w:themeColor="text2" w:themeTint="99"/>
        </w:rPr>
        <w:tab/>
        <w:t>Special topic</w:t>
      </w:r>
      <w:r w:rsidRPr="00C069AC">
        <w:rPr>
          <w:rFonts w:ascii="Calibri" w:hAnsi="Calibri" w:cs="Calibri"/>
          <w:color w:val="548DD4" w:themeColor="text2" w:themeTint="99"/>
        </w:rPr>
        <w:t xml:space="preserve"> </w:t>
      </w:r>
      <w:r>
        <w:rPr>
          <w:rFonts w:ascii="Calibri" w:hAnsi="Calibri" w:cs="Calibri"/>
        </w:rPr>
        <w:t xml:space="preserve">– </w:t>
      </w:r>
      <w:r w:rsidR="007A620A" w:rsidRPr="007A620A">
        <w:rPr>
          <w:rFonts w:ascii="Calibri" w:hAnsi="Calibri" w:cs="Calibri"/>
        </w:rPr>
        <w:t>Lafayette Program/Baton Rouge Program – the plan to develop branch campuses at Lafayette and Baton Rouge is under review.  A proposal should be forthcoming in the next few weeks</w:t>
      </w:r>
      <w:r w:rsidR="007F7C06">
        <w:rPr>
          <w:rFonts w:ascii="Calibri" w:hAnsi="Calibri" w:cs="Calibri"/>
        </w:rPr>
        <w:t xml:space="preserve">.  </w:t>
      </w:r>
    </w:p>
    <w:p w:rsidR="008A1B6E" w:rsidRDefault="008A1B6E" w:rsidP="008F3E00">
      <w:pPr>
        <w:contextualSpacing/>
        <w:rPr>
          <w:rFonts w:ascii="Calibri" w:hAnsi="Calibri" w:cs="Calibri"/>
        </w:rPr>
      </w:pPr>
    </w:p>
    <w:p w:rsidR="008A1B6E" w:rsidRPr="00E46C07" w:rsidRDefault="008A1B6E" w:rsidP="008F3E00">
      <w:pPr>
        <w:contextualSpacing/>
        <w:rPr>
          <w:rFonts w:ascii="Calibri" w:hAnsi="Calibri" w:cs="Calibri"/>
          <w:b/>
        </w:rPr>
      </w:pPr>
      <w:r w:rsidRPr="00E46C07">
        <w:rPr>
          <w:rFonts w:ascii="Calibri" w:hAnsi="Calibri" w:cs="Calibri"/>
          <w:b/>
          <w:color w:val="548DD4" w:themeColor="text2" w:themeTint="99"/>
        </w:rPr>
        <w:t>3.</w:t>
      </w:r>
      <w:r w:rsidRPr="00E46C07">
        <w:rPr>
          <w:rFonts w:ascii="Calibri" w:hAnsi="Calibri" w:cs="Calibri"/>
          <w:b/>
          <w:color w:val="548DD4" w:themeColor="text2" w:themeTint="99"/>
        </w:rPr>
        <w:tab/>
        <w:t>Approval of Minutes for October</w:t>
      </w:r>
    </w:p>
    <w:p w:rsidR="0000615B" w:rsidRDefault="0000615B" w:rsidP="0000615B">
      <w:pPr>
        <w:ind w:firstLine="720"/>
        <w:rPr>
          <w:rFonts w:cstheme="minorHAnsi"/>
        </w:rPr>
      </w:pPr>
      <w:r>
        <w:rPr>
          <w:rFonts w:cstheme="minorHAnsi"/>
        </w:rPr>
        <w:t>Minutes approved unanimously.</w:t>
      </w:r>
    </w:p>
    <w:p w:rsidR="008A1B6E" w:rsidRDefault="008A1B6E" w:rsidP="008F3E00">
      <w:pPr>
        <w:contextualSpacing/>
        <w:rPr>
          <w:rFonts w:ascii="Calibri" w:hAnsi="Calibri" w:cs="Calibri"/>
        </w:rPr>
      </w:pPr>
    </w:p>
    <w:p w:rsidR="008A1B6E" w:rsidRPr="00BD6C4B" w:rsidRDefault="008A1B6E" w:rsidP="008F3E00">
      <w:pPr>
        <w:contextualSpacing/>
        <w:rPr>
          <w:rFonts w:ascii="Calibri" w:hAnsi="Calibri" w:cs="Calibri"/>
          <w:b/>
          <w:color w:val="548DD4" w:themeColor="text2" w:themeTint="99"/>
        </w:rPr>
      </w:pPr>
      <w:r w:rsidRPr="00017B4C">
        <w:rPr>
          <w:rFonts w:ascii="Calibri" w:hAnsi="Calibri" w:cs="Calibri"/>
          <w:b/>
          <w:color w:val="548DD4" w:themeColor="text2" w:themeTint="99"/>
        </w:rPr>
        <w:t>4.</w:t>
      </w:r>
      <w:r w:rsidRPr="00017B4C">
        <w:rPr>
          <w:rFonts w:ascii="Calibri" w:hAnsi="Calibri" w:cs="Calibri"/>
          <w:b/>
          <w:color w:val="548DD4" w:themeColor="text2" w:themeTint="99"/>
        </w:rPr>
        <w:tab/>
        <w:t>Reports</w:t>
      </w:r>
    </w:p>
    <w:p w:rsidR="00060542" w:rsidRPr="00722CEA" w:rsidRDefault="00060542" w:rsidP="00060542">
      <w:pPr>
        <w:pStyle w:val="ListParagraph"/>
        <w:numPr>
          <w:ilvl w:val="1"/>
          <w:numId w:val="6"/>
        </w:numPr>
        <w:spacing w:after="200"/>
        <w:contextualSpacing w:val="0"/>
      </w:pPr>
      <w:r w:rsidRPr="00722CEA">
        <w:t xml:space="preserve">Executive Board </w:t>
      </w:r>
      <w:r>
        <w:t>– Greg Bagby</w:t>
      </w:r>
      <w:r w:rsidR="00647E31">
        <w:t>.  No report.</w:t>
      </w:r>
    </w:p>
    <w:p w:rsidR="00060542" w:rsidRPr="00722CEA" w:rsidRDefault="00060542" w:rsidP="00060542">
      <w:pPr>
        <w:pStyle w:val="ListParagraph"/>
        <w:numPr>
          <w:ilvl w:val="1"/>
          <w:numId w:val="6"/>
        </w:numPr>
        <w:spacing w:after="200"/>
        <w:contextualSpacing w:val="0"/>
      </w:pPr>
      <w:r w:rsidRPr="00722CEA">
        <w:t>SOM Administrative Council – Robin McGoey</w:t>
      </w:r>
      <w:r w:rsidR="00647E31">
        <w:t>.  No report.</w:t>
      </w:r>
    </w:p>
    <w:p w:rsidR="00060542" w:rsidRDefault="00060542" w:rsidP="00060542">
      <w:pPr>
        <w:pStyle w:val="ListParagraph"/>
        <w:numPr>
          <w:ilvl w:val="1"/>
          <w:numId w:val="6"/>
        </w:numPr>
        <w:spacing w:after="200"/>
        <w:contextualSpacing w:val="0"/>
      </w:pPr>
      <w:r w:rsidRPr="00722CEA">
        <w:t xml:space="preserve">Senate report </w:t>
      </w:r>
      <w:r>
        <w:t>– Mik</w:t>
      </w:r>
      <w:r w:rsidRPr="00722CEA">
        <w:t>e Levitzky</w:t>
      </w:r>
    </w:p>
    <w:p w:rsidR="005A3843" w:rsidRDefault="005A3843" w:rsidP="00060542">
      <w:pPr>
        <w:pStyle w:val="ListParagraph"/>
        <w:numPr>
          <w:ilvl w:val="2"/>
          <w:numId w:val="6"/>
        </w:numPr>
        <w:spacing w:after="200"/>
        <w:contextualSpacing w:val="0"/>
      </w:pPr>
      <w:r>
        <w:t xml:space="preserve">*Status of Ronnie Smith issue was updated – Ads coming out </w:t>
      </w:r>
      <w:r w:rsidRPr="005A3843">
        <w:rPr>
          <w:u w:val="single"/>
        </w:rPr>
        <w:t>very</w:t>
      </w:r>
      <w:r>
        <w:t xml:space="preserve"> soon</w:t>
      </w:r>
      <w:r w:rsidR="00647E31">
        <w:t xml:space="preserve">.  </w:t>
      </w:r>
      <w:r w:rsidR="00D80AA3">
        <w:t>Also mentioned by Dean Nelson.</w:t>
      </w:r>
    </w:p>
    <w:p w:rsidR="005A3843" w:rsidRDefault="00060542" w:rsidP="00647E31">
      <w:pPr>
        <w:pStyle w:val="ListParagraph"/>
        <w:numPr>
          <w:ilvl w:val="2"/>
          <w:numId w:val="6"/>
        </w:numPr>
        <w:spacing w:after="200"/>
        <w:contextualSpacing w:val="0"/>
      </w:pPr>
      <w:r>
        <w:t>T</w:t>
      </w:r>
      <w:r w:rsidR="005A3843">
        <w:t>enure clock revision</w:t>
      </w:r>
      <w:r>
        <w:t xml:space="preserve"> discussion in the Senate.  </w:t>
      </w:r>
      <w:r w:rsidR="005A3843">
        <w:t>Pro’s and con’s of all schools were different</w:t>
      </w:r>
      <w:r>
        <w:t>.</w:t>
      </w:r>
      <w:r w:rsidR="00D80AA3">
        <w:t>,w</w:t>
      </w:r>
      <w:r>
        <w:t xml:space="preserve">ith the Dental and Nursing Schools favoring the extension of the tenure clock and the School of Public Health </w:t>
      </w:r>
      <w:r w:rsidR="00647E31">
        <w:t xml:space="preserve">not favoring the extension of the tenure clock. </w:t>
      </w:r>
    </w:p>
    <w:p w:rsidR="008A1B6E" w:rsidRDefault="008A1B6E" w:rsidP="008A1B6E"/>
    <w:p w:rsidR="008A1B6E" w:rsidRDefault="008A1B6E" w:rsidP="008A1B6E">
      <w:pPr>
        <w:rPr>
          <w:b/>
          <w:color w:val="548DD4" w:themeColor="text2" w:themeTint="99"/>
        </w:rPr>
      </w:pPr>
      <w:r w:rsidRPr="00017B4C">
        <w:rPr>
          <w:b/>
          <w:color w:val="548DD4" w:themeColor="text2" w:themeTint="99"/>
        </w:rPr>
        <w:lastRenderedPageBreak/>
        <w:t>5.</w:t>
      </w:r>
      <w:r w:rsidRPr="00017B4C">
        <w:rPr>
          <w:b/>
          <w:color w:val="548DD4" w:themeColor="text2" w:themeTint="99"/>
        </w:rPr>
        <w:tab/>
        <w:t>Old business/Discussion items</w:t>
      </w:r>
    </w:p>
    <w:p w:rsidR="00647E31" w:rsidRDefault="00647E31" w:rsidP="0070328A">
      <w:pPr>
        <w:pStyle w:val="ListParagraph"/>
        <w:numPr>
          <w:ilvl w:val="0"/>
          <w:numId w:val="8"/>
        </w:numPr>
      </w:pPr>
      <w:r>
        <w:t xml:space="preserve">Faculty time and effort reports.  Clinical departments have different types of time and effort reports.  The SOM is </w:t>
      </w:r>
      <w:r w:rsidR="0070328A">
        <w:t>using a</w:t>
      </w:r>
      <w:r>
        <w:t xml:space="preserve"> relative value unit (RVU) system to assess clinical activity, where total RVU is equal to a national RVU x # times performed.  </w:t>
      </w:r>
      <w:r w:rsidR="0070328A">
        <w:t xml:space="preserve">However, it is clear that the performance of scholarly activities (i.e. applying for grants, research, teaching, graduate medical education, etc.) decrease RVU and a better metric needs to be developed.  This concern was mirrored by basic scientist faculty who also feel that they are not compensated for some of their academic responsibilities (i.e. teaching and graduate student education).  It was suggested that Keith Schroth be invited to discuss this further. </w:t>
      </w:r>
    </w:p>
    <w:p w:rsidR="0070328A" w:rsidRPr="00A20D7B" w:rsidRDefault="00647E31" w:rsidP="00A20D7B">
      <w:pPr>
        <w:pStyle w:val="ListParagraph"/>
        <w:numPr>
          <w:ilvl w:val="0"/>
          <w:numId w:val="8"/>
        </w:numPr>
        <w:spacing w:after="200"/>
        <w:contextualSpacing w:val="0"/>
      </w:pPr>
      <w:r>
        <w:t>LSUHSC Shreveport Extension of tenure clock proposal</w:t>
      </w:r>
      <w:r w:rsidR="0070328A">
        <w:t>.  An ad hoc committee consisting of Mike Levitzky (Chair), Jerome Breslin, Judy Crabtree, Tim Foster and Dan Kapusta presented their report.</w:t>
      </w:r>
      <w:r w:rsidR="00A20D7B">
        <w:t xml:space="preserve">  </w:t>
      </w:r>
      <w:r w:rsidR="0070328A" w:rsidRPr="00A20D7B">
        <w:t>The SOM-NO Faculty Assembly has considered the proposal adopted by the LSUHSC-Shreveport Faculty Senate to extend the tenure clock by two years for promotion from Assistant Professor to Associate Professor with tenure. The Shreveport document   stated good reasons for extending the tenure clock. However, our Faculty Assembly characterized tenure as a very complex issue involving much more than the time at which the tenure decision is considered. Regarding the specific issue of extending the tenure clock, an ad hoc committee of basic science Assistant Professors and Professors in the tenure track identified the following pros and cons:</w:t>
      </w:r>
    </w:p>
    <w:p w:rsidR="0070328A" w:rsidRPr="00D6060B" w:rsidRDefault="0070328A" w:rsidP="0070328A">
      <w:pPr>
        <w:spacing w:after="200"/>
        <w:ind w:left="1440"/>
        <w:rPr>
          <w:rFonts w:ascii="Times New Roman" w:hAnsi="Times New Roman" w:cs="Times New Roman"/>
        </w:rPr>
      </w:pPr>
      <w:r w:rsidRPr="00D6060B">
        <w:rPr>
          <w:rFonts w:ascii="Times New Roman" w:hAnsi="Times New Roman" w:cs="Times New Roman"/>
        </w:rPr>
        <w:t>Pros:</w:t>
      </w:r>
    </w:p>
    <w:p w:rsidR="0070328A" w:rsidRPr="00A20D7B" w:rsidRDefault="0070328A" w:rsidP="00A20D7B">
      <w:pPr>
        <w:pStyle w:val="ListParagraph"/>
        <w:numPr>
          <w:ilvl w:val="0"/>
          <w:numId w:val="11"/>
        </w:numPr>
        <w:spacing w:after="200"/>
        <w:rPr>
          <w:rFonts w:ascii="Times New Roman" w:hAnsi="Times New Roman" w:cs="Times New Roman"/>
        </w:rPr>
      </w:pPr>
      <w:r w:rsidRPr="00A20D7B">
        <w:rPr>
          <w:rFonts w:ascii="Times New Roman" w:hAnsi="Times New Roman" w:cs="Times New Roman"/>
        </w:rPr>
        <w:t xml:space="preserve">Extending the clock may increase likelihood of faculty to meet the requirements for promotion and granting of tenure. </w:t>
      </w:r>
    </w:p>
    <w:p w:rsidR="0070328A" w:rsidRPr="00D6060B" w:rsidRDefault="0070328A" w:rsidP="00A20D7B">
      <w:pPr>
        <w:pStyle w:val="ListParagraph"/>
        <w:numPr>
          <w:ilvl w:val="1"/>
          <w:numId w:val="11"/>
        </w:numPr>
        <w:spacing w:after="200"/>
        <w:rPr>
          <w:rFonts w:ascii="Times New Roman" w:hAnsi="Times New Roman" w:cs="Times New Roman"/>
        </w:rPr>
      </w:pPr>
      <w:r w:rsidRPr="00D6060B">
        <w:rPr>
          <w:rFonts w:ascii="Times New Roman" w:hAnsi="Times New Roman" w:cs="Times New Roman"/>
        </w:rPr>
        <w:t xml:space="preserve">While not officially stated an important criterion to achieve tenure is receiving a NIH R01 or equivalent grant that pays a significant portion of the faculty member’s salary. However, the time to achieve this goal is increasing. According to current NIH statistics, the average age of a starting Assistant Professor is 33; the average age of a first time R01 recipient is 43.  The committee further identified the importance of scholarly productivity, as opposed to grant support, along with teaching and service excellence, as the appropriate metrics of faculty promotion and granting of tenure. </w:t>
      </w:r>
    </w:p>
    <w:p w:rsidR="0070328A" w:rsidRPr="00D6060B" w:rsidRDefault="0070328A" w:rsidP="00A20D7B">
      <w:pPr>
        <w:pStyle w:val="ListParagraph"/>
        <w:numPr>
          <w:ilvl w:val="1"/>
          <w:numId w:val="11"/>
        </w:numPr>
        <w:spacing w:after="200"/>
        <w:rPr>
          <w:rFonts w:ascii="Times New Roman" w:hAnsi="Times New Roman" w:cs="Times New Roman"/>
        </w:rPr>
      </w:pPr>
      <w:r w:rsidRPr="00D6060B">
        <w:rPr>
          <w:rFonts w:ascii="Times New Roman" w:hAnsi="Times New Roman" w:cs="Times New Roman"/>
        </w:rPr>
        <w:t>Because the SOM-NO invests heavily in its junior faculty monetarily in the form of startup packages and mentoring, retention of faculty showing evidence of sustained excellence in scholarly activity, teaching and service will save School resources.  It is more expensive to recruit new faculty than to retain existing faculty when possible. Additional time before the decision about tenure is made may allow the candidate to get what they need for tenure, thus helping the institution profit from its investment.</w:t>
      </w:r>
    </w:p>
    <w:p w:rsidR="0070328A" w:rsidRPr="00D6060B" w:rsidRDefault="0070328A" w:rsidP="00A20D7B">
      <w:pPr>
        <w:pStyle w:val="ListParagraph"/>
        <w:numPr>
          <w:ilvl w:val="0"/>
          <w:numId w:val="11"/>
        </w:numPr>
        <w:spacing w:after="200"/>
        <w:rPr>
          <w:rFonts w:ascii="Times New Roman" w:hAnsi="Times New Roman" w:cs="Times New Roman"/>
        </w:rPr>
      </w:pPr>
      <w:r w:rsidRPr="00D6060B">
        <w:rPr>
          <w:rFonts w:ascii="Times New Roman" w:hAnsi="Times New Roman" w:cs="Times New Roman"/>
        </w:rPr>
        <w:t>Extending the clock gives department heads greater flexibility in decision-making.</w:t>
      </w:r>
    </w:p>
    <w:p w:rsidR="0070328A" w:rsidRPr="00D6060B" w:rsidRDefault="0070328A" w:rsidP="00A20D7B">
      <w:pPr>
        <w:pStyle w:val="ListParagraph"/>
        <w:numPr>
          <w:ilvl w:val="0"/>
          <w:numId w:val="11"/>
        </w:numPr>
        <w:spacing w:after="200"/>
        <w:rPr>
          <w:rFonts w:ascii="Times New Roman" w:hAnsi="Times New Roman" w:cs="Times New Roman"/>
        </w:rPr>
      </w:pPr>
      <w:r w:rsidRPr="00D6060B">
        <w:rPr>
          <w:rFonts w:ascii="Times New Roman" w:hAnsi="Times New Roman" w:cs="Times New Roman"/>
        </w:rPr>
        <w:t>Extension would be helpful for those whose career is interrupted or delayed. Whereas this is a pro, there is already a mechanism to “pause” the clock for personal reasons like pregnancy illness, or family matters.</w:t>
      </w:r>
    </w:p>
    <w:p w:rsidR="0070328A" w:rsidRPr="00D6060B" w:rsidRDefault="0070328A" w:rsidP="00A20D7B">
      <w:pPr>
        <w:pStyle w:val="ListParagraph"/>
        <w:numPr>
          <w:ilvl w:val="0"/>
          <w:numId w:val="11"/>
        </w:numPr>
        <w:spacing w:after="200"/>
        <w:rPr>
          <w:rFonts w:ascii="Times New Roman" w:hAnsi="Times New Roman" w:cs="Times New Roman"/>
        </w:rPr>
      </w:pPr>
      <w:r w:rsidRPr="00D6060B">
        <w:rPr>
          <w:rFonts w:ascii="Times New Roman" w:hAnsi="Times New Roman" w:cs="Times New Roman"/>
        </w:rPr>
        <w:t>Increasing use of non</w:t>
      </w:r>
      <w:r w:rsidR="00A20D7B">
        <w:rPr>
          <w:rFonts w:ascii="Times New Roman" w:hAnsi="Times New Roman" w:cs="Times New Roman"/>
        </w:rPr>
        <w:t>-</w:t>
      </w:r>
      <w:r w:rsidRPr="00D6060B">
        <w:rPr>
          <w:rFonts w:ascii="Times New Roman" w:hAnsi="Times New Roman" w:cs="Times New Roman"/>
        </w:rPr>
        <w:t xml:space="preserve">tenure tracks such as the Research or Clinical tract can harm the research mission of the SOM. The research track for basic scientists may limit movement to independence and impair their ability to develop their research programs. For example many granting agencies consider putting a researcher on the tenure track evidence of institutional commitment to the faculty member; conversely, not putting the researcher on the tenure track is interpreted as a lack of institutional </w:t>
      </w:r>
      <w:r w:rsidRPr="00D6060B">
        <w:rPr>
          <w:rFonts w:ascii="Times New Roman" w:hAnsi="Times New Roman" w:cs="Times New Roman"/>
        </w:rPr>
        <w:lastRenderedPageBreak/>
        <w:t xml:space="preserve">commitment. The clinical track decreases emphasis on scholarly activity and therefore decreases scholarly activity in the clinical departments. Increasing the clock will increase the number of faculty pursuing scholarly activity along with other responsibilities. </w:t>
      </w:r>
    </w:p>
    <w:p w:rsidR="0070328A" w:rsidRPr="00D6060B" w:rsidRDefault="0070328A" w:rsidP="0070328A">
      <w:pPr>
        <w:spacing w:after="200"/>
        <w:ind w:left="1440"/>
        <w:rPr>
          <w:rFonts w:ascii="Times New Roman" w:hAnsi="Times New Roman" w:cs="Times New Roman"/>
        </w:rPr>
      </w:pPr>
      <w:r w:rsidRPr="00D6060B">
        <w:rPr>
          <w:rFonts w:ascii="Times New Roman" w:hAnsi="Times New Roman" w:cs="Times New Roman"/>
        </w:rPr>
        <w:t>Cons:</w:t>
      </w:r>
    </w:p>
    <w:p w:rsidR="0070328A" w:rsidRPr="00D6060B" w:rsidRDefault="0070328A" w:rsidP="00A20D7B">
      <w:pPr>
        <w:pStyle w:val="ListParagraph"/>
        <w:numPr>
          <w:ilvl w:val="0"/>
          <w:numId w:val="11"/>
        </w:numPr>
        <w:spacing w:after="200"/>
        <w:rPr>
          <w:rFonts w:ascii="Times New Roman" w:hAnsi="Times New Roman" w:cs="Times New Roman"/>
        </w:rPr>
      </w:pPr>
      <w:r w:rsidRPr="00D6060B">
        <w:rPr>
          <w:rFonts w:ascii="Times New Roman" w:hAnsi="Times New Roman" w:cs="Times New Roman"/>
        </w:rPr>
        <w:t>Any discussion of tenure opens the door for re-evaluation of all aspects of tenure, including whether tenure should be abolished entirely. I think most of us are not opposed to reasonable post-tenure review, but would like tenure to be continued. Some believed this was a pro in that raising the issue would open the door to examine tenure to include post-tenure review.</w:t>
      </w:r>
    </w:p>
    <w:p w:rsidR="0070328A" w:rsidRPr="00D6060B" w:rsidRDefault="0070328A" w:rsidP="00A20D7B">
      <w:pPr>
        <w:pStyle w:val="ListParagraph"/>
        <w:numPr>
          <w:ilvl w:val="0"/>
          <w:numId w:val="11"/>
        </w:numPr>
        <w:spacing w:after="200"/>
        <w:rPr>
          <w:rFonts w:ascii="Times New Roman" w:hAnsi="Times New Roman" w:cs="Times New Roman"/>
        </w:rPr>
      </w:pPr>
      <w:r w:rsidRPr="00D6060B">
        <w:rPr>
          <w:rFonts w:ascii="Times New Roman" w:hAnsi="Times New Roman" w:cs="Times New Roman"/>
        </w:rPr>
        <w:t>Some department heads might use the extension to delay promotion of qualified faculty. While not ideal, a faculty member has the option of self-nomination.</w:t>
      </w:r>
    </w:p>
    <w:p w:rsidR="0070328A" w:rsidRPr="00D6060B" w:rsidRDefault="0070328A" w:rsidP="00A20D7B">
      <w:pPr>
        <w:pStyle w:val="ListParagraph"/>
        <w:numPr>
          <w:ilvl w:val="0"/>
          <w:numId w:val="11"/>
        </w:numPr>
        <w:spacing w:after="200"/>
        <w:rPr>
          <w:rFonts w:ascii="Times New Roman" w:hAnsi="Times New Roman" w:cs="Times New Roman"/>
        </w:rPr>
      </w:pPr>
      <w:r w:rsidRPr="00D6060B">
        <w:rPr>
          <w:rFonts w:ascii="Times New Roman" w:hAnsi="Times New Roman" w:cs="Times New Roman"/>
        </w:rPr>
        <w:t>Adding time to the clock may result in greater requirements for promotion with tenure.</w:t>
      </w:r>
      <w:r w:rsidR="00A20D7B">
        <w:rPr>
          <w:rFonts w:ascii="Times New Roman" w:hAnsi="Times New Roman" w:cs="Times New Roman"/>
        </w:rPr>
        <w:t>”</w:t>
      </w:r>
    </w:p>
    <w:p w:rsidR="0070328A" w:rsidRPr="00A20D7B" w:rsidRDefault="0070328A" w:rsidP="0070328A">
      <w:pPr>
        <w:spacing w:after="200"/>
        <w:ind w:left="1440"/>
        <w:rPr>
          <w:rFonts w:cstheme="minorHAnsi"/>
        </w:rPr>
      </w:pPr>
      <w:r w:rsidRPr="00A20D7B">
        <w:rPr>
          <w:rFonts w:cstheme="minorHAnsi"/>
        </w:rPr>
        <w:t>After consideration of these pros and cons, the Assembly voted narrowly (10 for and 7 against) to support the Shreveport proposal to extend the tenure clock by two years.</w:t>
      </w:r>
    </w:p>
    <w:p w:rsidR="0070328A" w:rsidRPr="00A20D7B" w:rsidRDefault="0070328A" w:rsidP="0070328A">
      <w:pPr>
        <w:spacing w:after="200"/>
        <w:ind w:left="1440"/>
        <w:rPr>
          <w:rFonts w:cstheme="minorHAnsi"/>
        </w:rPr>
      </w:pPr>
      <w:r w:rsidRPr="00A20D7B">
        <w:rPr>
          <w:rFonts w:cstheme="minorHAnsi"/>
        </w:rPr>
        <w:t>Furthermore, the Assembly voted unanimously to express the opinion that tenure is a complex issue and that all issues regarding tenure should be evaluated with the goal of balancing the needs of the faculty with the missions of the School.</w:t>
      </w:r>
    </w:p>
    <w:p w:rsidR="00D6060B" w:rsidRPr="00D6060B" w:rsidRDefault="00D6060B" w:rsidP="0070328A">
      <w:pPr>
        <w:spacing w:after="200"/>
        <w:ind w:left="1440"/>
        <w:rPr>
          <w:rFonts w:ascii="Times New Roman" w:hAnsi="Times New Roman" w:cs="Times New Roman"/>
        </w:rPr>
      </w:pPr>
    </w:p>
    <w:p w:rsidR="00647E31" w:rsidRDefault="00647E31" w:rsidP="00647E31">
      <w:pPr>
        <w:pStyle w:val="ListParagraph"/>
        <w:numPr>
          <w:ilvl w:val="0"/>
          <w:numId w:val="8"/>
        </w:numPr>
        <w:spacing w:after="200"/>
        <w:contextualSpacing w:val="0"/>
      </w:pPr>
      <w:r>
        <w:t>Department Head evaluations – no report</w:t>
      </w:r>
    </w:p>
    <w:p w:rsidR="00647E31" w:rsidRDefault="00647E31" w:rsidP="00647E31">
      <w:pPr>
        <w:pStyle w:val="ListParagraph"/>
        <w:numPr>
          <w:ilvl w:val="0"/>
          <w:numId w:val="8"/>
        </w:numPr>
        <w:spacing w:after="200"/>
        <w:contextualSpacing w:val="0"/>
      </w:pPr>
      <w:r>
        <w:t>Clinical faculty oversight committees on the LSU Health Care Network</w:t>
      </w:r>
    </w:p>
    <w:p w:rsidR="00647E31" w:rsidRPr="00017B4C" w:rsidRDefault="00647E31" w:rsidP="008A1B6E">
      <w:pPr>
        <w:rPr>
          <w:b/>
          <w:color w:val="548DD4" w:themeColor="text2" w:themeTint="99"/>
        </w:rPr>
      </w:pPr>
    </w:p>
    <w:p w:rsidR="00C069AC" w:rsidRPr="00017B4C" w:rsidRDefault="00C069AC" w:rsidP="00C069AC">
      <w:pPr>
        <w:rPr>
          <w:b/>
          <w:color w:val="548DD4" w:themeColor="text2" w:themeTint="99"/>
        </w:rPr>
      </w:pPr>
      <w:r w:rsidRPr="00C069AC">
        <w:rPr>
          <w:b/>
          <w:color w:val="548DD4" w:themeColor="text2" w:themeTint="99"/>
        </w:rPr>
        <w:t>6.</w:t>
      </w:r>
      <w:r>
        <w:tab/>
      </w:r>
      <w:r w:rsidRPr="00017B4C">
        <w:rPr>
          <w:b/>
          <w:color w:val="548DD4" w:themeColor="text2" w:themeTint="99"/>
        </w:rPr>
        <w:t>New business/Announcements</w:t>
      </w:r>
    </w:p>
    <w:p w:rsidR="00BD6C4B" w:rsidRDefault="00BD6C4B" w:rsidP="00D6060B">
      <w:pPr>
        <w:pStyle w:val="ListParagraph"/>
        <w:numPr>
          <w:ilvl w:val="0"/>
          <w:numId w:val="8"/>
        </w:numPr>
        <w:spacing w:after="200"/>
        <w:contextualSpacing w:val="0"/>
      </w:pPr>
      <w:r w:rsidRPr="00017B4C">
        <w:t xml:space="preserve">FA Awards </w:t>
      </w:r>
      <w:r w:rsidR="00017B4C" w:rsidRPr="00017B4C">
        <w:t>nominations</w:t>
      </w:r>
      <w:r w:rsidRPr="00017B4C">
        <w:t xml:space="preserve"> are being sou</w:t>
      </w:r>
      <w:r w:rsidR="00017B4C" w:rsidRPr="00017B4C">
        <w:t>ght</w:t>
      </w:r>
      <w:r w:rsidR="00D6060B">
        <w:t xml:space="preserve">.  </w:t>
      </w:r>
      <w:r>
        <w:t>Committee will be picked at Dec. meeting</w:t>
      </w:r>
      <w:r w:rsidR="00D6060B">
        <w:t xml:space="preserve">. </w:t>
      </w:r>
      <w:r>
        <w:t xml:space="preserve"> Dr</w:t>
      </w:r>
      <w:r w:rsidR="00017B4C">
        <w:t>.</w:t>
      </w:r>
      <w:r>
        <w:t xml:space="preserve"> </w:t>
      </w:r>
      <w:r w:rsidR="00D6060B">
        <w:t>Levitzky</w:t>
      </w:r>
      <w:r>
        <w:t xml:space="preserve"> </w:t>
      </w:r>
      <w:r w:rsidR="00017B4C">
        <w:t>volunteered</w:t>
      </w:r>
      <w:r w:rsidR="00D6060B">
        <w:t xml:space="preserve"> to serve as a member</w:t>
      </w:r>
      <w:r w:rsidR="00017B4C">
        <w:t>.</w:t>
      </w:r>
    </w:p>
    <w:p w:rsidR="00BD6C4B" w:rsidRDefault="00BD6C4B" w:rsidP="0001727B"/>
    <w:p w:rsidR="00C069AC" w:rsidRPr="00C069AC" w:rsidRDefault="00C069AC" w:rsidP="00C069AC">
      <w:pPr>
        <w:keepNext/>
        <w:spacing w:after="240"/>
        <w:outlineLvl w:val="2"/>
        <w:rPr>
          <w:rFonts w:ascii="Calibri" w:eastAsia="Times New Roman" w:hAnsi="Calibri" w:cs="Calibri"/>
          <w:bCs/>
          <w:color w:val="4F81BD"/>
          <w:sz w:val="24"/>
          <w:szCs w:val="24"/>
        </w:rPr>
      </w:pPr>
      <w:r w:rsidRPr="00C069AC">
        <w:rPr>
          <w:rFonts w:ascii="Calibri" w:eastAsia="Times New Roman" w:hAnsi="Calibri" w:cs="Calibri"/>
          <w:b/>
          <w:bCs/>
          <w:color w:val="4F81BD"/>
          <w:sz w:val="24"/>
          <w:szCs w:val="24"/>
        </w:rPr>
        <w:t xml:space="preserve">Adjournment:  </w:t>
      </w:r>
      <w:r w:rsidRPr="00C069AC">
        <w:rPr>
          <w:rFonts w:ascii="Calibri" w:eastAsia="Times New Roman" w:hAnsi="Calibri" w:cs="Calibri"/>
          <w:bCs/>
          <w:color w:val="4F81BD"/>
          <w:sz w:val="24"/>
          <w:szCs w:val="24"/>
        </w:rPr>
        <w:t>Meeting was adjourned at 5:</w:t>
      </w:r>
      <w:r>
        <w:rPr>
          <w:rFonts w:ascii="Calibri" w:eastAsia="Times New Roman" w:hAnsi="Calibri" w:cs="Calibri"/>
          <w:bCs/>
          <w:color w:val="4F81BD"/>
          <w:sz w:val="24"/>
          <w:szCs w:val="24"/>
        </w:rPr>
        <w:t>33</w:t>
      </w:r>
      <w:r w:rsidRPr="00C069AC">
        <w:rPr>
          <w:rFonts w:ascii="Calibri" w:eastAsia="Times New Roman" w:hAnsi="Calibri" w:cs="Calibri"/>
          <w:bCs/>
          <w:color w:val="4F81BD"/>
          <w:sz w:val="24"/>
          <w:szCs w:val="24"/>
        </w:rPr>
        <w:t xml:space="preserve"> p</w:t>
      </w:r>
      <w:r>
        <w:rPr>
          <w:rFonts w:ascii="Calibri" w:eastAsia="Times New Roman" w:hAnsi="Calibri" w:cs="Calibri"/>
          <w:bCs/>
          <w:color w:val="4F81BD"/>
          <w:sz w:val="24"/>
          <w:szCs w:val="24"/>
        </w:rPr>
        <w:t>.</w:t>
      </w:r>
      <w:r w:rsidRPr="00C069AC">
        <w:rPr>
          <w:rFonts w:ascii="Calibri" w:eastAsia="Times New Roman" w:hAnsi="Calibri" w:cs="Calibri"/>
          <w:bCs/>
          <w:color w:val="4F81BD"/>
          <w:sz w:val="24"/>
          <w:szCs w:val="24"/>
        </w:rPr>
        <w:t>m</w:t>
      </w:r>
      <w:r>
        <w:rPr>
          <w:rFonts w:ascii="Calibri" w:eastAsia="Times New Roman" w:hAnsi="Calibri" w:cs="Calibri"/>
          <w:bCs/>
          <w:color w:val="4F81BD"/>
          <w:sz w:val="24"/>
          <w:szCs w:val="24"/>
        </w:rPr>
        <w:t>.</w:t>
      </w:r>
      <w:r w:rsidRPr="00C069AC">
        <w:rPr>
          <w:rFonts w:ascii="Calibri" w:eastAsia="Times New Roman" w:hAnsi="Calibri" w:cs="Calibri"/>
          <w:bCs/>
          <w:color w:val="4F81BD"/>
          <w:sz w:val="24"/>
          <w:szCs w:val="24"/>
        </w:rPr>
        <w:t xml:space="preserve"> by Dr. Greg Bagby. The next general meeting will be at 4:00 pm on </w:t>
      </w:r>
      <w:r>
        <w:rPr>
          <w:rFonts w:ascii="Calibri" w:eastAsia="Times New Roman" w:hAnsi="Calibri" w:cs="Calibri"/>
          <w:bCs/>
          <w:color w:val="4F81BD"/>
          <w:sz w:val="24"/>
          <w:szCs w:val="24"/>
        </w:rPr>
        <w:t xml:space="preserve">December </w:t>
      </w:r>
      <w:r w:rsidR="007B170B">
        <w:rPr>
          <w:rFonts w:ascii="Calibri" w:eastAsia="Times New Roman" w:hAnsi="Calibri" w:cs="Calibri"/>
          <w:bCs/>
          <w:color w:val="4F81BD"/>
          <w:sz w:val="24"/>
          <w:szCs w:val="24"/>
        </w:rPr>
        <w:t>8th</w:t>
      </w:r>
      <w:r w:rsidRPr="00C069AC">
        <w:rPr>
          <w:rFonts w:ascii="Calibri" w:eastAsia="Times New Roman" w:hAnsi="Calibri" w:cs="Calibri"/>
          <w:bCs/>
          <w:color w:val="4F81BD"/>
          <w:sz w:val="24"/>
          <w:szCs w:val="24"/>
        </w:rPr>
        <w:t xml:space="preserve"> in Room </w:t>
      </w:r>
      <w:r w:rsidR="007B170B">
        <w:rPr>
          <w:rFonts w:ascii="Calibri" w:eastAsia="Times New Roman" w:hAnsi="Calibri" w:cs="Calibri"/>
          <w:bCs/>
          <w:color w:val="4F81BD"/>
          <w:sz w:val="24"/>
          <w:szCs w:val="24"/>
        </w:rPr>
        <w:t>544 on the 5</w:t>
      </w:r>
      <w:r w:rsidRPr="00C069AC">
        <w:rPr>
          <w:rFonts w:ascii="Calibri" w:eastAsia="Times New Roman" w:hAnsi="Calibri" w:cs="Calibri"/>
          <w:bCs/>
          <w:color w:val="4F81BD"/>
          <w:sz w:val="24"/>
          <w:szCs w:val="24"/>
          <w:vertAlign w:val="superscript"/>
        </w:rPr>
        <w:t>th</w:t>
      </w:r>
      <w:r w:rsidRPr="00C069AC">
        <w:rPr>
          <w:rFonts w:ascii="Calibri" w:eastAsia="Times New Roman" w:hAnsi="Calibri" w:cs="Calibri"/>
          <w:bCs/>
          <w:color w:val="4F81BD"/>
          <w:sz w:val="24"/>
          <w:szCs w:val="24"/>
        </w:rPr>
        <w:t xml:space="preserve"> floor of the Lions Building.</w:t>
      </w:r>
    </w:p>
    <w:p w:rsidR="00C069AC" w:rsidRPr="00C069AC" w:rsidRDefault="00C069AC" w:rsidP="00C069AC">
      <w:pPr>
        <w:tabs>
          <w:tab w:val="left" w:pos="3960"/>
        </w:tabs>
        <w:spacing w:before="240" w:after="240"/>
        <w:rPr>
          <w:rFonts w:ascii="Calibri" w:eastAsia="Times New Roman" w:hAnsi="Calibri" w:cs="Calibri"/>
          <w:sz w:val="24"/>
          <w:szCs w:val="24"/>
        </w:rPr>
      </w:pPr>
    </w:p>
    <w:p w:rsidR="00C069AC" w:rsidRPr="00C069AC" w:rsidRDefault="00C069AC" w:rsidP="00C069AC">
      <w:pPr>
        <w:tabs>
          <w:tab w:val="left" w:pos="3960"/>
        </w:tabs>
        <w:spacing w:before="240" w:after="240"/>
        <w:rPr>
          <w:rFonts w:ascii="Calibri" w:eastAsia="Times New Roman" w:hAnsi="Calibri" w:cs="Calibri"/>
          <w:sz w:val="24"/>
          <w:szCs w:val="24"/>
        </w:rPr>
      </w:pPr>
    </w:p>
    <w:p w:rsidR="00C069AC" w:rsidRPr="00C069AC" w:rsidRDefault="00C069AC" w:rsidP="00C069AC">
      <w:pPr>
        <w:tabs>
          <w:tab w:val="left" w:pos="3960"/>
        </w:tabs>
        <w:spacing w:before="240" w:after="240"/>
        <w:rPr>
          <w:rFonts w:ascii="Calibri" w:eastAsia="Times New Roman" w:hAnsi="Calibri" w:cs="Calibri"/>
          <w:sz w:val="24"/>
          <w:szCs w:val="24"/>
        </w:rPr>
      </w:pPr>
      <w:r w:rsidRPr="00C069AC">
        <w:rPr>
          <w:rFonts w:ascii="Calibri" w:eastAsia="Times New Roman" w:hAnsi="Calibri" w:cs="Calibri"/>
          <w:sz w:val="24"/>
          <w:szCs w:val="24"/>
        </w:rPr>
        <w:t>Minutes submitted by:</w:t>
      </w:r>
      <w:r w:rsidRPr="00C069AC">
        <w:rPr>
          <w:rFonts w:ascii="Calibri" w:eastAsia="Times New Roman" w:hAnsi="Calibri" w:cs="Calibri"/>
          <w:sz w:val="24"/>
          <w:szCs w:val="24"/>
        </w:rPr>
        <w:tab/>
        <w:t>Stephania A. Cormier</w:t>
      </w:r>
    </w:p>
    <w:p w:rsidR="00C069AC" w:rsidRPr="00C069AC" w:rsidRDefault="00C069AC" w:rsidP="00C069AC">
      <w:pPr>
        <w:tabs>
          <w:tab w:val="left" w:pos="3960"/>
        </w:tabs>
        <w:spacing w:before="240" w:after="240"/>
        <w:rPr>
          <w:rFonts w:ascii="Calibri" w:eastAsia="Times New Roman" w:hAnsi="Calibri" w:cs="Calibri"/>
          <w:sz w:val="24"/>
          <w:szCs w:val="24"/>
        </w:rPr>
      </w:pPr>
    </w:p>
    <w:p w:rsidR="00C069AC" w:rsidRPr="00C069AC" w:rsidRDefault="00C069AC" w:rsidP="00C069AC">
      <w:pPr>
        <w:rPr>
          <w:rFonts w:ascii="Times New Roman" w:hAnsi="Times New Roman" w:cs="Times New Roman"/>
          <w:sz w:val="24"/>
          <w:szCs w:val="24"/>
        </w:rPr>
      </w:pPr>
      <w:r w:rsidRPr="00C069AC">
        <w:rPr>
          <w:rFonts w:ascii="Calibri" w:hAnsi="Calibri" w:cs="Calibri"/>
        </w:rPr>
        <w:t>Approved by:</w:t>
      </w:r>
      <w:r w:rsidRPr="00C069AC">
        <w:rPr>
          <w:rFonts w:ascii="Calibri" w:hAnsi="Calibri" w:cs="Calibri"/>
        </w:rPr>
        <w:tab/>
      </w:r>
      <w:r w:rsidR="004E2313" w:rsidRPr="00C069AC">
        <w:rPr>
          <w:rFonts w:ascii="Calibri" w:hAnsi="Calibri" w:cs="Calibri"/>
        </w:rPr>
        <w:fldChar w:fldCharType="begin"/>
      </w:r>
      <w:r w:rsidRPr="00C069AC">
        <w:rPr>
          <w:rFonts w:ascii="Calibri" w:hAnsi="Calibri" w:cs="Calibri"/>
        </w:rPr>
        <w:instrText>MACROBUTTON DoFieldClick [</w:instrText>
      </w:r>
      <w:r w:rsidRPr="00C069AC">
        <w:rPr>
          <w:rFonts w:ascii="Calibri" w:hAnsi="Calibri" w:cs="Calibri"/>
          <w:b/>
        </w:rPr>
        <w:instrText>Type name here</w:instrText>
      </w:r>
      <w:r w:rsidRPr="00C069AC">
        <w:rPr>
          <w:rFonts w:ascii="Calibri" w:hAnsi="Calibri" w:cs="Calibri"/>
        </w:rPr>
        <w:instrText>]</w:instrText>
      </w:r>
      <w:r w:rsidR="004E2313" w:rsidRPr="00C069AC">
        <w:rPr>
          <w:rFonts w:ascii="Calibri" w:hAnsi="Calibri" w:cs="Calibri"/>
        </w:rPr>
        <w:fldChar w:fldCharType="end"/>
      </w:r>
    </w:p>
    <w:sectPr w:rsidR="00C069AC" w:rsidRPr="00C069AC" w:rsidSect="00883D1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A6D" w:rsidRDefault="00A36A6D" w:rsidP="00C069AC">
      <w:r>
        <w:separator/>
      </w:r>
    </w:p>
  </w:endnote>
  <w:endnote w:type="continuationSeparator" w:id="0">
    <w:p w:rsidR="00A36A6D" w:rsidRDefault="00A36A6D" w:rsidP="00C0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762609"/>
      <w:docPartObj>
        <w:docPartGallery w:val="Page Numbers (Bottom of Page)"/>
        <w:docPartUnique/>
      </w:docPartObj>
    </w:sdtPr>
    <w:sdtEndPr/>
    <w:sdtContent>
      <w:sdt>
        <w:sdtPr>
          <w:id w:val="-1669238322"/>
          <w:docPartObj>
            <w:docPartGallery w:val="Page Numbers (Top of Page)"/>
            <w:docPartUnique/>
          </w:docPartObj>
        </w:sdtPr>
        <w:sdtEndPr/>
        <w:sdtContent>
          <w:p w:rsidR="00C069AC" w:rsidRDefault="00C069AC">
            <w:pPr>
              <w:pStyle w:val="Footer"/>
              <w:jc w:val="center"/>
            </w:pPr>
            <w:r>
              <w:t xml:space="preserve">Page </w:t>
            </w:r>
            <w:r w:rsidR="004E2313">
              <w:rPr>
                <w:b/>
                <w:bCs/>
                <w:sz w:val="24"/>
                <w:szCs w:val="24"/>
              </w:rPr>
              <w:fldChar w:fldCharType="begin"/>
            </w:r>
            <w:r>
              <w:rPr>
                <w:b/>
                <w:bCs/>
              </w:rPr>
              <w:instrText xml:space="preserve"> PAGE </w:instrText>
            </w:r>
            <w:r w:rsidR="004E2313">
              <w:rPr>
                <w:b/>
                <w:bCs/>
                <w:sz w:val="24"/>
                <w:szCs w:val="24"/>
              </w:rPr>
              <w:fldChar w:fldCharType="separate"/>
            </w:r>
            <w:r w:rsidR="00292D34">
              <w:rPr>
                <w:b/>
                <w:bCs/>
                <w:noProof/>
              </w:rPr>
              <w:t>3</w:t>
            </w:r>
            <w:r w:rsidR="004E2313">
              <w:rPr>
                <w:b/>
                <w:bCs/>
                <w:sz w:val="24"/>
                <w:szCs w:val="24"/>
              </w:rPr>
              <w:fldChar w:fldCharType="end"/>
            </w:r>
            <w:r>
              <w:t xml:space="preserve"> of </w:t>
            </w:r>
            <w:r w:rsidR="004E2313">
              <w:rPr>
                <w:b/>
                <w:bCs/>
                <w:sz w:val="24"/>
                <w:szCs w:val="24"/>
              </w:rPr>
              <w:fldChar w:fldCharType="begin"/>
            </w:r>
            <w:r>
              <w:rPr>
                <w:b/>
                <w:bCs/>
              </w:rPr>
              <w:instrText xml:space="preserve"> NUMPAGES  </w:instrText>
            </w:r>
            <w:r w:rsidR="004E2313">
              <w:rPr>
                <w:b/>
                <w:bCs/>
                <w:sz w:val="24"/>
                <w:szCs w:val="24"/>
              </w:rPr>
              <w:fldChar w:fldCharType="separate"/>
            </w:r>
            <w:r w:rsidR="00292D34">
              <w:rPr>
                <w:b/>
                <w:bCs/>
                <w:noProof/>
              </w:rPr>
              <w:t>3</w:t>
            </w:r>
            <w:r w:rsidR="004E2313">
              <w:rPr>
                <w:b/>
                <w:bCs/>
                <w:sz w:val="24"/>
                <w:szCs w:val="24"/>
              </w:rPr>
              <w:fldChar w:fldCharType="end"/>
            </w:r>
          </w:p>
        </w:sdtContent>
      </w:sdt>
    </w:sdtContent>
  </w:sdt>
  <w:p w:rsidR="00C069AC" w:rsidRDefault="00C06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A6D" w:rsidRDefault="00A36A6D" w:rsidP="00C069AC">
      <w:r>
        <w:separator/>
      </w:r>
    </w:p>
  </w:footnote>
  <w:footnote w:type="continuationSeparator" w:id="0">
    <w:p w:rsidR="00A36A6D" w:rsidRDefault="00A36A6D" w:rsidP="00C06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D5A"/>
    <w:multiLevelType w:val="hybridMultilevel"/>
    <w:tmpl w:val="AB683D76"/>
    <w:lvl w:ilvl="0" w:tplc="777C2B3A">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2A3155"/>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nsid w:val="21612FBD"/>
    <w:multiLevelType w:val="hybridMultilevel"/>
    <w:tmpl w:val="67C8D79A"/>
    <w:lvl w:ilvl="0" w:tplc="6D5A8394">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26550E"/>
    <w:multiLevelType w:val="hybridMultilevel"/>
    <w:tmpl w:val="858CE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5645B85"/>
    <w:multiLevelType w:val="hybridMultilevel"/>
    <w:tmpl w:val="A65A69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9F1A93"/>
    <w:multiLevelType w:val="hybridMultilevel"/>
    <w:tmpl w:val="ED08E578"/>
    <w:lvl w:ilvl="0" w:tplc="79289956">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D4E3561"/>
    <w:multiLevelType w:val="hybridMultilevel"/>
    <w:tmpl w:val="743A71FE"/>
    <w:lvl w:ilvl="0" w:tplc="BDBEC16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F25F06"/>
    <w:multiLevelType w:val="hybridMultilevel"/>
    <w:tmpl w:val="723CDA76"/>
    <w:lvl w:ilvl="0" w:tplc="5B1E00F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6236F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D33507D"/>
    <w:multiLevelType w:val="hybridMultilevel"/>
    <w:tmpl w:val="0AA6F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7"/>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3843"/>
    <w:rsid w:val="0000615B"/>
    <w:rsid w:val="0001727B"/>
    <w:rsid w:val="00017B4C"/>
    <w:rsid w:val="00060542"/>
    <w:rsid w:val="00081FC6"/>
    <w:rsid w:val="001107CB"/>
    <w:rsid w:val="001D7EE9"/>
    <w:rsid w:val="00200281"/>
    <w:rsid w:val="00260481"/>
    <w:rsid w:val="002830B4"/>
    <w:rsid w:val="00292D34"/>
    <w:rsid w:val="002E1F32"/>
    <w:rsid w:val="004E2313"/>
    <w:rsid w:val="005326C3"/>
    <w:rsid w:val="005854DB"/>
    <w:rsid w:val="005A3843"/>
    <w:rsid w:val="00647E31"/>
    <w:rsid w:val="0070328A"/>
    <w:rsid w:val="00785999"/>
    <w:rsid w:val="007A620A"/>
    <w:rsid w:val="007B170B"/>
    <w:rsid w:val="007E0003"/>
    <w:rsid w:val="007F7C06"/>
    <w:rsid w:val="00835461"/>
    <w:rsid w:val="008431FE"/>
    <w:rsid w:val="00883D14"/>
    <w:rsid w:val="008A1B6E"/>
    <w:rsid w:val="008C0196"/>
    <w:rsid w:val="008F3E00"/>
    <w:rsid w:val="009A6831"/>
    <w:rsid w:val="009B1FC9"/>
    <w:rsid w:val="00A20D7B"/>
    <w:rsid w:val="00A36A6D"/>
    <w:rsid w:val="00AC7171"/>
    <w:rsid w:val="00B6184D"/>
    <w:rsid w:val="00B6208F"/>
    <w:rsid w:val="00BD6C4B"/>
    <w:rsid w:val="00BE7DF2"/>
    <w:rsid w:val="00BF453D"/>
    <w:rsid w:val="00C069AC"/>
    <w:rsid w:val="00C077B8"/>
    <w:rsid w:val="00CB67CA"/>
    <w:rsid w:val="00CF5A93"/>
    <w:rsid w:val="00D05AB0"/>
    <w:rsid w:val="00D27976"/>
    <w:rsid w:val="00D6060B"/>
    <w:rsid w:val="00D80AA3"/>
    <w:rsid w:val="00E14538"/>
    <w:rsid w:val="00E46C07"/>
    <w:rsid w:val="00F22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003"/>
    <w:pPr>
      <w:ind w:left="720"/>
      <w:contextualSpacing/>
    </w:pPr>
  </w:style>
  <w:style w:type="paragraph" w:styleId="Header">
    <w:name w:val="header"/>
    <w:basedOn w:val="Normal"/>
    <w:link w:val="HeaderChar"/>
    <w:uiPriority w:val="99"/>
    <w:unhideWhenUsed/>
    <w:rsid w:val="00C069AC"/>
    <w:pPr>
      <w:tabs>
        <w:tab w:val="center" w:pos="4680"/>
        <w:tab w:val="right" w:pos="9360"/>
      </w:tabs>
    </w:pPr>
  </w:style>
  <w:style w:type="character" w:customStyle="1" w:styleId="HeaderChar">
    <w:name w:val="Header Char"/>
    <w:basedOn w:val="DefaultParagraphFont"/>
    <w:link w:val="Header"/>
    <w:uiPriority w:val="99"/>
    <w:rsid w:val="00C069AC"/>
  </w:style>
  <w:style w:type="paragraph" w:styleId="Footer">
    <w:name w:val="footer"/>
    <w:basedOn w:val="Normal"/>
    <w:link w:val="FooterChar"/>
    <w:uiPriority w:val="99"/>
    <w:unhideWhenUsed/>
    <w:rsid w:val="00C069AC"/>
    <w:pPr>
      <w:tabs>
        <w:tab w:val="center" w:pos="4680"/>
        <w:tab w:val="right" w:pos="9360"/>
      </w:tabs>
    </w:pPr>
  </w:style>
  <w:style w:type="character" w:customStyle="1" w:styleId="FooterChar">
    <w:name w:val="Footer Char"/>
    <w:basedOn w:val="DefaultParagraphFont"/>
    <w:link w:val="Footer"/>
    <w:uiPriority w:val="99"/>
    <w:rsid w:val="00C069AC"/>
  </w:style>
  <w:style w:type="paragraph" w:styleId="BalloonText">
    <w:name w:val="Balloon Text"/>
    <w:basedOn w:val="Normal"/>
    <w:link w:val="BalloonTextChar"/>
    <w:uiPriority w:val="99"/>
    <w:semiHidden/>
    <w:unhideWhenUsed/>
    <w:rsid w:val="00BF453D"/>
    <w:rPr>
      <w:rFonts w:ascii="Tahoma" w:hAnsi="Tahoma" w:cs="Tahoma"/>
      <w:sz w:val="16"/>
      <w:szCs w:val="16"/>
    </w:rPr>
  </w:style>
  <w:style w:type="character" w:customStyle="1" w:styleId="BalloonTextChar">
    <w:name w:val="Balloon Text Char"/>
    <w:basedOn w:val="DefaultParagraphFont"/>
    <w:link w:val="BalloonText"/>
    <w:uiPriority w:val="99"/>
    <w:semiHidden/>
    <w:rsid w:val="00BF45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003"/>
    <w:pPr>
      <w:ind w:left="720"/>
      <w:contextualSpacing/>
    </w:pPr>
  </w:style>
  <w:style w:type="paragraph" w:styleId="Header">
    <w:name w:val="header"/>
    <w:basedOn w:val="Normal"/>
    <w:link w:val="HeaderChar"/>
    <w:uiPriority w:val="99"/>
    <w:unhideWhenUsed/>
    <w:rsid w:val="00C069AC"/>
    <w:pPr>
      <w:tabs>
        <w:tab w:val="center" w:pos="4680"/>
        <w:tab w:val="right" w:pos="9360"/>
      </w:tabs>
    </w:pPr>
  </w:style>
  <w:style w:type="character" w:customStyle="1" w:styleId="HeaderChar">
    <w:name w:val="Header Char"/>
    <w:basedOn w:val="DefaultParagraphFont"/>
    <w:link w:val="Header"/>
    <w:uiPriority w:val="99"/>
    <w:rsid w:val="00C069AC"/>
  </w:style>
  <w:style w:type="paragraph" w:styleId="Footer">
    <w:name w:val="footer"/>
    <w:basedOn w:val="Normal"/>
    <w:link w:val="FooterChar"/>
    <w:uiPriority w:val="99"/>
    <w:unhideWhenUsed/>
    <w:rsid w:val="00C069AC"/>
    <w:pPr>
      <w:tabs>
        <w:tab w:val="center" w:pos="4680"/>
        <w:tab w:val="right" w:pos="9360"/>
      </w:tabs>
    </w:pPr>
  </w:style>
  <w:style w:type="character" w:customStyle="1" w:styleId="FooterChar">
    <w:name w:val="Footer Char"/>
    <w:basedOn w:val="DefaultParagraphFont"/>
    <w:link w:val="Footer"/>
    <w:uiPriority w:val="99"/>
    <w:rsid w:val="00C0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3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Thelma Evans</dc:creator>
  <cp:lastModifiedBy>Stephania A. Cormier</cp:lastModifiedBy>
  <cp:revision>2</cp:revision>
  <cp:lastPrinted>2011-11-15T14:30:00Z</cp:lastPrinted>
  <dcterms:created xsi:type="dcterms:W3CDTF">2011-12-07T15:03:00Z</dcterms:created>
  <dcterms:modified xsi:type="dcterms:W3CDTF">2011-12-07T15:03:00Z</dcterms:modified>
</cp:coreProperties>
</file>