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7A" w:rsidRPr="00F669B1" w:rsidRDefault="000A287A" w:rsidP="009A0088">
      <w:pPr>
        <w:pStyle w:val="NoSpacing"/>
        <w:rPr>
          <w:color w:val="000000"/>
          <w:sz w:val="24"/>
          <w:szCs w:val="24"/>
          <w:u w:val="single"/>
        </w:rPr>
        <w:sectPr w:rsidR="000A287A" w:rsidRPr="00F669B1" w:rsidSect="00C6059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59A" w:rsidRPr="003C1DDE" w:rsidRDefault="00C6059A" w:rsidP="009A0088">
      <w:pPr>
        <w:pStyle w:val="NoSpacing"/>
        <w:rPr>
          <w:sz w:val="20"/>
          <w:szCs w:val="20"/>
        </w:rPr>
      </w:pPr>
      <w:r w:rsidRPr="00F669B1">
        <w:rPr>
          <w:color w:val="000000"/>
          <w:sz w:val="24"/>
          <w:szCs w:val="24"/>
          <w:u w:val="single"/>
        </w:rPr>
        <w:t>The Sunshine Act: Shining Light on</w:t>
      </w:r>
      <w:r w:rsidR="00164C09" w:rsidRPr="00F669B1">
        <w:rPr>
          <w:color w:val="000000"/>
          <w:sz w:val="24"/>
          <w:szCs w:val="24"/>
          <w:u w:val="single"/>
        </w:rPr>
        <w:t xml:space="preserve"> </w:t>
      </w:r>
      <w:r w:rsidRPr="00F669B1">
        <w:rPr>
          <w:color w:val="000000"/>
          <w:sz w:val="24"/>
          <w:szCs w:val="24"/>
          <w:u w:val="single"/>
        </w:rPr>
        <w:t>Impending Implementation</w:t>
      </w:r>
      <w:r w:rsidR="00567329" w:rsidRPr="003C1DDE">
        <w:rPr>
          <w:color w:val="000000"/>
          <w:u w:val="single"/>
        </w:rPr>
        <w:t xml:space="preserve"> </w:t>
      </w:r>
      <w:r w:rsidRPr="003C1DDE">
        <w:rPr>
          <w:b/>
          <w:bCs/>
          <w:i/>
          <w:iCs/>
          <w:color w:val="000000"/>
          <w:sz w:val="20"/>
          <w:szCs w:val="20"/>
        </w:rPr>
        <w:t>Katherine L. Kraschel*</w:t>
      </w:r>
      <w:r w:rsidRPr="003C1DDE">
        <w:rPr>
          <w:i/>
          <w:iCs/>
          <w:color w:val="000000"/>
          <w:sz w:val="20"/>
          <w:szCs w:val="20"/>
        </w:rPr>
        <w:t>Foley &amp; Lardner LLP Boston, MA</w:t>
      </w:r>
      <w:r w:rsidR="00164C09" w:rsidRPr="003C1DDE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3C1DDE">
        <w:rPr>
          <w:b/>
          <w:bCs/>
          <w:i/>
          <w:iCs/>
          <w:color w:val="000000"/>
          <w:sz w:val="20"/>
          <w:szCs w:val="20"/>
        </w:rPr>
        <w:t xml:space="preserve">Brendan Abel </w:t>
      </w:r>
      <w:r w:rsidRPr="003C1DDE">
        <w:rPr>
          <w:i/>
          <w:iCs/>
          <w:color w:val="000000"/>
          <w:sz w:val="20"/>
          <w:szCs w:val="20"/>
        </w:rPr>
        <w:t>Office for Interactions with Industry</w:t>
      </w:r>
      <w:r w:rsidR="00567329" w:rsidRPr="003C1DDE">
        <w:rPr>
          <w:color w:val="000000"/>
          <w:u w:val="single"/>
        </w:rPr>
        <w:t xml:space="preserve"> </w:t>
      </w:r>
      <w:r w:rsidRPr="003C1DDE">
        <w:rPr>
          <w:i/>
          <w:iCs/>
          <w:color w:val="000000"/>
          <w:sz w:val="20"/>
          <w:szCs w:val="20"/>
        </w:rPr>
        <w:t>Partners HealthCare  Boston, MA</w:t>
      </w:r>
      <w:r w:rsidR="00567329" w:rsidRPr="003C1DDE">
        <w:rPr>
          <w:i/>
          <w:iCs/>
          <w:color w:val="000000"/>
          <w:sz w:val="20"/>
          <w:szCs w:val="20"/>
        </w:rPr>
        <w:t xml:space="preserve">  </w:t>
      </w:r>
      <w:hyperlink r:id="rId8" w:history="1">
        <w:r w:rsidR="00567329" w:rsidRPr="003C1DDE">
          <w:rPr>
            <w:rStyle w:val="Hyperlink"/>
            <w:rFonts w:cs="Arial"/>
            <w:sz w:val="20"/>
            <w:szCs w:val="20"/>
          </w:rPr>
          <w:t>http://www.healthlawyers.org/Members/PracticeGroups/IHC/Documents/IHC_March14.pdf</w:t>
        </w:r>
      </w:hyperlink>
    </w:p>
    <w:p w:rsidR="00C6059A" w:rsidRPr="003C1DDE" w:rsidRDefault="00C6059A" w:rsidP="009A0088">
      <w:pPr>
        <w:pStyle w:val="NoSpacing"/>
        <w:rPr>
          <w:i/>
          <w:iCs/>
          <w:color w:val="000000"/>
          <w:sz w:val="20"/>
          <w:szCs w:val="20"/>
        </w:rPr>
      </w:pPr>
    </w:p>
    <w:p w:rsidR="00C6059A" w:rsidRPr="00F669B1" w:rsidRDefault="00164C09" w:rsidP="009A0088">
      <w:pPr>
        <w:pStyle w:val="NoSpacing"/>
        <w:rPr>
          <w:color w:val="000000"/>
        </w:rPr>
      </w:pPr>
      <w:r w:rsidRPr="00F669B1">
        <w:rPr>
          <w:b/>
          <w:color w:val="F7D15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="00C6059A" w:rsidRPr="00F669B1">
        <w:rPr>
          <w:color w:val="000000"/>
        </w:rPr>
        <w:t>he Physician Payments Sunshine Act (Sunshine Act or Act)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is a rarely cited component of the Affordable Care Act(ACA). The Sunshine Act increases the transparency of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payments and other transfers of value from manufacturers or</w:t>
      </w:r>
      <w:r w:rsidR="00F669B1">
        <w:rPr>
          <w:color w:val="000000"/>
        </w:rPr>
        <w:t xml:space="preserve"> </w:t>
      </w:r>
      <w:r w:rsidR="00C6059A" w:rsidRPr="00F669B1">
        <w:rPr>
          <w:color w:val="000000"/>
        </w:rPr>
        <w:t>group purchasing organizations (GPOs) of pharmaceuticals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and medical devices to physicians and hospitals. With the first</w:t>
      </w:r>
      <w:r w:rsidR="00F669B1">
        <w:rPr>
          <w:color w:val="000000"/>
        </w:rPr>
        <w:t xml:space="preserve"> </w:t>
      </w:r>
      <w:r w:rsidR="00C6059A" w:rsidRPr="00F669B1">
        <w:rPr>
          <w:color w:val="000000"/>
        </w:rPr>
        <w:t>annual reporting deadline for manufacturers approaching on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March 31, and the launch of a resulting public, searchable</w:t>
      </w:r>
      <w:r w:rsidR="00F669B1">
        <w:rPr>
          <w:color w:val="000000"/>
        </w:rPr>
        <w:t xml:space="preserve"> </w:t>
      </w:r>
      <w:r w:rsidR="00C6059A" w:rsidRPr="00F669B1">
        <w:rPr>
          <w:color w:val="000000"/>
        </w:rPr>
        <w:t>website, entitled Open Payments, listing details of payments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to individual physicians slated for September, this provision</w:t>
      </w:r>
      <w:r w:rsidR="00F669B1">
        <w:rPr>
          <w:color w:val="000000"/>
        </w:rPr>
        <w:t xml:space="preserve"> </w:t>
      </w:r>
      <w:r w:rsidR="00C6059A" w:rsidRPr="00F669B1">
        <w:rPr>
          <w:color w:val="000000"/>
        </w:rPr>
        <w:t>of the law will attract the attention of affected parties such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as manufacturers, physicians, and hospitals as well as third</w:t>
      </w:r>
      <w:r w:rsidR="00F669B1">
        <w:rPr>
          <w:color w:val="000000"/>
        </w:rPr>
        <w:t xml:space="preserve"> </w:t>
      </w:r>
      <w:r w:rsidR="00C6059A" w:rsidRPr="00F669B1">
        <w:rPr>
          <w:color w:val="000000"/>
        </w:rPr>
        <w:t>parties such as the media and health care consumers.</w:t>
      </w:r>
    </w:p>
    <w:p w:rsidR="00D874DD" w:rsidRPr="00F669B1" w:rsidRDefault="00D874DD" w:rsidP="009A0088">
      <w:pPr>
        <w:pStyle w:val="NoSpacing"/>
        <w:rPr>
          <w:color w:val="000000"/>
        </w:rPr>
      </w:pPr>
    </w:p>
    <w:p w:rsidR="00C6059A" w:rsidRPr="00F669B1" w:rsidRDefault="00C6059A" w:rsidP="009A0088">
      <w:pPr>
        <w:pStyle w:val="NoSpacing"/>
        <w:rPr>
          <w:color w:val="8D1829"/>
        </w:rPr>
      </w:pPr>
      <w:r w:rsidRPr="00F669B1">
        <w:rPr>
          <w:color w:val="8D1829"/>
        </w:rPr>
        <w:t>History</w:t>
      </w:r>
    </w:p>
    <w:p w:rsidR="00C6059A" w:rsidRP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Disclosure of financial interests is not a new concept within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the medical community. The Cleveland Clinic, for example,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has required the posting of certain information regarding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their physicians’ ties with industry on its website since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2007.1 Several states, including Massachusetts, Minnesota,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and Vermont, have passed legislation requiring public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reporting of certain information about payments made to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physicians.2 At least 13 pharmaceutical companies are now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required to publicly post information about payments they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make to physicians as conditions of corporate integrity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agreements.3 Lastly, many industry and medical professional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societies require disclosure of certain financial interests either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publicly or in relevant situations (i.e., presentations, journal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publications, advisory boards, etc.). Never before, though,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have financial disclosure requirements come from the federal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government to the biomedical community, and rarely have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disclosure requirements, regardless of source, been as expansive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as those contained in the Sunshine Act.</w:t>
      </w:r>
      <w:r w:rsidR="000E01CB" w:rsidRPr="00F669B1">
        <w:rPr>
          <w:color w:val="000000"/>
        </w:rPr>
        <w:t xml:space="preserve">  </w:t>
      </w:r>
    </w:p>
    <w:p w:rsidR="00F669B1" w:rsidRDefault="00F669B1" w:rsidP="009A0088">
      <w:pPr>
        <w:pStyle w:val="NoSpacing"/>
        <w:rPr>
          <w:color w:val="000000"/>
        </w:rPr>
      </w:pPr>
    </w:p>
    <w:p w:rsidR="00F669B1" w:rsidRDefault="00ED3E66" w:rsidP="009A0088">
      <w:pPr>
        <w:pStyle w:val="NoSpacing"/>
        <w:rPr>
          <w:color w:val="000000"/>
        </w:rPr>
      </w:pPr>
      <w:r w:rsidRPr="00F669B1">
        <w:rPr>
          <w:color w:val="000000"/>
        </w:rPr>
        <w:t>T</w:t>
      </w:r>
      <w:r w:rsidR="00C6059A" w:rsidRPr="00F669B1">
        <w:rPr>
          <w:color w:val="000000"/>
        </w:rPr>
        <w:t>he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ACA provided the perfect avenue through which to pas</w:t>
      </w:r>
      <w:r w:rsidR="000E01CB" w:rsidRPr="00F669B1">
        <w:rPr>
          <w:color w:val="000000"/>
        </w:rPr>
        <w:t xml:space="preserve">s the Act which includes a myriad of components </w:t>
      </w:r>
      <w:r w:rsidR="00C6059A" w:rsidRPr="00F669B1">
        <w:rPr>
          <w:color w:val="000000"/>
        </w:rPr>
        <w:t>added by individual legislators during the chaotic</w:t>
      </w:r>
      <w:r w:rsidR="000E01CB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drafting and negotiating of the bill.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The resistance in the path towards passage was not surprising</w:t>
      </w:r>
      <w:r w:rsidR="0001741B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given the large number of financial relationships that potentially</w:t>
      </w:r>
      <w:r w:rsidR="003316AD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require disclosure and thus create an administrative</w:t>
      </w:r>
      <w:r w:rsidR="0001741B"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 xml:space="preserve">burden for manufacturers and GPOs. </w:t>
      </w:r>
    </w:p>
    <w:p w:rsidR="00F669B1" w:rsidRDefault="00F669B1" w:rsidP="009A0088">
      <w:pPr>
        <w:pStyle w:val="NoSpacing"/>
        <w:rPr>
          <w:color w:val="000000"/>
        </w:rPr>
      </w:pPr>
    </w:p>
    <w:p w:rsidR="00C6059A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In a large-scale survey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in 2007 of more than 3,000 physicians across six specialties,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94% of physicians reported some type of relationship with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industry, while 18% reported receiving compensation for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consulting.4 A substantial portion of the biomedical community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will be affected by the law, leading physicians, hospitals,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and manufacturers to pay close attention to the regulations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that operationalize the law as they have emerged.</w:t>
      </w:r>
    </w:p>
    <w:p w:rsidR="00F669B1" w:rsidRPr="00F669B1" w:rsidRDefault="00F669B1" w:rsidP="009A0088">
      <w:pPr>
        <w:pStyle w:val="NoSpacing"/>
        <w:rPr>
          <w:color w:val="000000"/>
        </w:rPr>
      </w:pPr>
    </w:p>
    <w:p w:rsidR="00164C09" w:rsidRP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The Centers for Medicare &amp; Medicaid Services (CMS) issued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proposed regulations in December 2011 and requested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commentary from all interested parties.5 In February 2013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CMS issued final regulations that require reporting of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payments or transfers of value from all pharmaceutical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and medical device manufacturers and GPOs to physicians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or teaching hospitals (covered recipients) occurring on or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after August 1, 2013 for calendar year 2013.6 Reports for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the shortened August-December 2013 calendar year must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be submitted by manufacturers and GPOs electronically to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CMS by March 31, 2014 and will be due on the 90th day of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each year for the subsequent calendar year.</w:t>
      </w:r>
      <w:r w:rsidR="00164C09" w:rsidRPr="00F669B1">
        <w:rPr>
          <w:color w:val="000000"/>
        </w:rPr>
        <w:t xml:space="preserve"> </w:t>
      </w:r>
    </w:p>
    <w:p w:rsidR="00C01EA9" w:rsidRPr="00F669B1" w:rsidRDefault="00C01EA9" w:rsidP="009A0088">
      <w:pPr>
        <w:pStyle w:val="NoSpacing"/>
        <w:rPr>
          <w:color w:val="000000"/>
        </w:rPr>
      </w:pPr>
    </w:p>
    <w:p w:rsidR="00C6059A" w:rsidRPr="00F669B1" w:rsidRDefault="00C6059A" w:rsidP="009A0088">
      <w:pPr>
        <w:pStyle w:val="NoSpacing"/>
        <w:rPr>
          <w:color w:val="8D1829"/>
        </w:rPr>
      </w:pPr>
      <w:r w:rsidRPr="00F669B1">
        <w:rPr>
          <w:color w:val="8D1829"/>
        </w:rPr>
        <w:t>Types of Payments Reported</w:t>
      </w:r>
    </w:p>
    <w:p w:rsidR="00C6059A" w:rsidRP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Payment or transfer of value is defined broadly with a low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threshold of $10, and thus will include a vast array of funds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lastRenderedPageBreak/>
        <w:t>transferred from covered recipients. However, reporting only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applies to payment from entities that manufacture at least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one covered product that includes any drug, device, biological,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or medical supply covered under Medicare, Medicaid,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or the Children’s Health Insurance Program.7</w:t>
      </w:r>
      <w:r w:rsidR="003316AD" w:rsidRPr="00F669B1">
        <w:rPr>
          <w:color w:val="000000"/>
        </w:rPr>
        <w:t xml:space="preserve"> </w:t>
      </w:r>
    </w:p>
    <w:p w:rsidR="00F669B1" w:rsidRDefault="00F669B1" w:rsidP="009A0088">
      <w:pPr>
        <w:pStyle w:val="NoSpacing"/>
        <w:rPr>
          <w:color w:val="000000"/>
        </w:rPr>
      </w:pP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In addition to payments made directly from manufacturers,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indirect payments or transfers of value must be reported.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These indirect payments are defined as payments or transfers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in which the manufacturer “requires, instructs, directs, or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otherwise causes the third party” to pay or transfer value to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a covered recipient. There is no knowledge requirement that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triggers reporting of these third-party payments. If a manufacturer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is not aware of the identity of the covered recipient,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 payment made by a third party will be imputed back to the</w:t>
      </w:r>
      <w:r w:rsidR="003316AD" w:rsidRPr="00F669B1">
        <w:rPr>
          <w:color w:val="000000"/>
        </w:rPr>
        <w:t xml:space="preserve"> </w:t>
      </w:r>
      <w:r w:rsidR="00010419" w:rsidRPr="00F669B1">
        <w:rPr>
          <w:color w:val="000000"/>
        </w:rPr>
        <w:t xml:space="preserve">manufacturer </w:t>
      </w:r>
      <w:r w:rsidRPr="00F669B1">
        <w:rPr>
          <w:color w:val="000000"/>
        </w:rPr>
        <w:t>and must be reported.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Food and beverage values of $10 or more must be disclosed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as well as values of less than $10 when the aggregate annual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amount transferred to the covered recipient exceeds $100.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In reporting food and beverage values, manufacturers must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determine and report the value per person by dividing the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entire cost of food and beverage by the number of individuals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who partake in a meal (including individuals who are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non-covered recipients). However, meals, snacks, soft drinks,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or coffee that a manufacturer provides and are generally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available to all participants at a large conference or similar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events need not be reported.8</w:t>
      </w:r>
    </w:p>
    <w:p w:rsidR="003316AD" w:rsidRPr="00F669B1" w:rsidRDefault="003316AD" w:rsidP="009A0088">
      <w:pPr>
        <w:pStyle w:val="NoSpacing"/>
        <w:rPr>
          <w:color w:val="000000"/>
        </w:rPr>
      </w:pPr>
      <w:r w:rsidRPr="00F669B1">
        <w:rPr>
          <w:color w:val="000000"/>
        </w:rPr>
        <w:t xml:space="preserve">  </w:t>
      </w:r>
    </w:p>
    <w:p w:rsidR="00C6059A" w:rsidRP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The breadth of the Sunshine Act is exemplified by the inclusion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of “research” as a category of reportable payments. The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regulations require disclosure of all transfers of value for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research, from basic and applied research through product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development (or, in other terms, preclinical through Phase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IV research).9 Research-related payments are reportable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whether made directly or indirectly to a covered recipient,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and the research only needs to be subject to a writt</w:t>
      </w:r>
      <w:r w:rsidR="00010419" w:rsidRPr="00F669B1">
        <w:rPr>
          <w:color w:val="000000"/>
        </w:rPr>
        <w:t xml:space="preserve">en </w:t>
      </w:r>
      <w:r w:rsidRPr="00F669B1">
        <w:rPr>
          <w:color w:val="000000"/>
        </w:rPr>
        <w:t>agreement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or contract or a research protocol. Of note, the Open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Payments website will treat research payments differently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by listing them separately on the website, and by including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additional information such as the name of the research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study, the covered products subject to the study, and at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the manufacturer’s</w:t>
      </w:r>
      <w:r w:rsidR="00010419" w:rsidRPr="00F669B1">
        <w:rPr>
          <w:color w:val="000000"/>
        </w:rPr>
        <w:t xml:space="preserve"> option, the ClinicalTrials.gov </w:t>
      </w:r>
      <w:r w:rsidRPr="00F669B1">
        <w:rPr>
          <w:color w:val="000000"/>
        </w:rPr>
        <w:t>identifier.</w:t>
      </w:r>
      <w:r w:rsidR="00010419" w:rsidRPr="00F669B1">
        <w:rPr>
          <w:color w:val="000000"/>
        </w:rPr>
        <w:t xml:space="preserve">  </w:t>
      </w:r>
      <w:r w:rsidRPr="00F669B1">
        <w:rPr>
          <w:color w:val="000000"/>
        </w:rPr>
        <w:t>These measures are taken to address concerns regarding the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appearance of substantial payments to investigators who are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performing sponsored research and to mitigate confusion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that such research payments are akin to other reportable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payments on the Open Payments website.</w:t>
      </w:r>
      <w:r w:rsidR="00010419" w:rsidRPr="00F669B1">
        <w:rPr>
          <w:color w:val="000000"/>
        </w:rPr>
        <w:t xml:space="preserve">  </w:t>
      </w:r>
      <w:r w:rsidRPr="00F669B1">
        <w:rPr>
          <w:color w:val="000000"/>
        </w:rPr>
        <w:t>For sponsored research agreements, the entire sum of research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support will be attributed as a payment to an individual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physician who is the principal investigator, even though all or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most of the money will be used to fund the research overhead,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salaries for research staff, subcontracts to third parties, institutional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review board fees, etc.10 Many times, the researcher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listed as receiving substantial support from a manufacturer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will, in fact, receive no salary support or increase for such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arrangements.11 The regulations contain a notable provision to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offer market protection of certain research that is in development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but has not yet reached regulatory approval: disclosure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of such research payments can be delayed until the earlier of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four years from the date of transfer or U.S. Food and Drug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Administration (FDA) approval of the product to protect the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companies’ proprietary interests.</w:t>
      </w:r>
    </w:p>
    <w:p w:rsidR="00C01EA9" w:rsidRPr="00F669B1" w:rsidRDefault="00C01EA9" w:rsidP="009A0088">
      <w:pPr>
        <w:pStyle w:val="NoSpacing"/>
        <w:rPr>
          <w:color w:val="000000"/>
        </w:rPr>
      </w:pPr>
    </w:p>
    <w:p w:rsidR="00C6059A" w:rsidRPr="00F669B1" w:rsidRDefault="00C6059A" w:rsidP="009A0088">
      <w:pPr>
        <w:pStyle w:val="NoSpacing"/>
        <w:rPr>
          <w:color w:val="8D1829"/>
        </w:rPr>
      </w:pPr>
      <w:r w:rsidRPr="00F669B1">
        <w:rPr>
          <w:color w:val="8D1829"/>
        </w:rPr>
        <w:t>Definition of Manufacturer</w:t>
      </w:r>
    </w:p>
    <w:p w:rsidR="00567329" w:rsidRP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Under the Act, all pharmaceutical and device manufacturers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and GPOs are required to register with CMS within 90 days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of the end of the calendar year in which payments are to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be reported.12 There are two categories of manufacturers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as defined by the regulations. The first category includes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entities engaged in the production, preparation, propagation,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compounding, or conversion of a covered product.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It does not include distributors or wholesalers that do not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hold title to any covered product or entities that produce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covered product solely for use by or within the entity or by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the entity’s own patients. Manufacturers that do not produce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a covered product or do so only under a written agreement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for another entity and do not hold FDA approval, license,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or clearance are only required to report payments related to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covered products. In addition, manufacturers whose total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gross revenues from covered products constitute less than</w:t>
      </w:r>
      <w:r w:rsidR="00010419" w:rsidRPr="00F669B1">
        <w:rPr>
          <w:color w:val="000000"/>
        </w:rPr>
        <w:t xml:space="preserve"> </w:t>
      </w:r>
      <w:r w:rsidRPr="00F669B1">
        <w:rPr>
          <w:color w:val="000000"/>
        </w:rPr>
        <w:t>10% of its total gross revenue are not required to report</w:t>
      </w:r>
      <w:r w:rsidR="003316AD" w:rsidRPr="00F669B1">
        <w:rPr>
          <w:color w:val="000000"/>
        </w:rPr>
        <w:t xml:space="preserve"> </w:t>
      </w:r>
      <w:r w:rsidRPr="00F669B1">
        <w:rPr>
          <w:color w:val="000000"/>
        </w:rPr>
        <w:t>payments that are related to covered products</w:t>
      </w:r>
      <w:r w:rsidR="00567329" w:rsidRPr="00F669B1">
        <w:rPr>
          <w:color w:val="000000"/>
        </w:rPr>
        <w:t>. …</w:t>
      </w:r>
    </w:p>
    <w:p w:rsidR="00567329" w:rsidRPr="00F669B1" w:rsidRDefault="00567329" w:rsidP="009A0088">
      <w:pPr>
        <w:pStyle w:val="NoSpacing"/>
        <w:rPr>
          <w:strike/>
          <w:color w:val="000000"/>
        </w:rPr>
      </w:pPr>
    </w:p>
    <w:p w:rsidR="00C6059A" w:rsidRPr="00F669B1" w:rsidRDefault="00C6059A" w:rsidP="009A0088">
      <w:pPr>
        <w:pStyle w:val="NoSpacing"/>
        <w:rPr>
          <w:color w:val="8D1829"/>
        </w:rPr>
      </w:pPr>
      <w:r w:rsidRPr="00F669B1">
        <w:rPr>
          <w:color w:val="8D1829"/>
        </w:rPr>
        <w:lastRenderedPageBreak/>
        <w:t>Appeals Procedure</w:t>
      </w:r>
    </w:p>
    <w:p w:rsidR="00164C09" w:rsidRPr="00F669B1" w:rsidRDefault="00C6059A" w:rsidP="00567329">
      <w:pPr>
        <w:pStyle w:val="NoSpacing"/>
        <w:rPr>
          <w:color w:val="000000"/>
        </w:rPr>
      </w:pPr>
      <w:r w:rsidRPr="00F669B1">
        <w:rPr>
          <w:color w:val="000000"/>
        </w:rPr>
        <w:t>Once manufacturers or GPOs report payments, a review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and resolution period will begin at least 60 days before the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information is made public to allow for a two-phase review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and dispute resolution process to occur. Covered recipients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may register with CMS to receive notification regarding the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review process and are otherwise notified using an online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 xml:space="preserve">posting and </w:t>
      </w:r>
      <w:r w:rsidR="0001741B" w:rsidRPr="00F669B1">
        <w:rPr>
          <w:color w:val="000000"/>
        </w:rPr>
        <w:t xml:space="preserve"> </w:t>
      </w:r>
      <w:r w:rsidR="00676297" w:rsidRPr="00F669B1">
        <w:rPr>
          <w:color w:val="000000"/>
        </w:rPr>
        <w:t>u</w:t>
      </w:r>
      <w:r w:rsidRPr="00F669B1">
        <w:rPr>
          <w:color w:val="000000"/>
        </w:rPr>
        <w:t>pon reviewing the information reported about the covered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recipient, if the information is correct, the covered recipient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may electronically certify the information reported is accurate.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If the covered recipient disagrees with information reported,</w:t>
      </w:r>
      <w:r w:rsidR="00676297" w:rsidRPr="00F669B1">
        <w:rPr>
          <w:color w:val="000000"/>
        </w:rPr>
        <w:t xml:space="preserve"> </w:t>
      </w:r>
      <w:r w:rsidRPr="00F669B1">
        <w:rPr>
          <w:color w:val="000000"/>
        </w:rPr>
        <w:t>the covered recipient may initiate a dispute any time once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the 45-day review process has begun and before the end of</w:t>
      </w:r>
      <w:r w:rsidR="00676297" w:rsidRPr="00F669B1">
        <w:rPr>
          <w:color w:val="000000"/>
        </w:rPr>
        <w:t xml:space="preserve"> </w:t>
      </w:r>
      <w:r w:rsidRPr="00F669B1">
        <w:rPr>
          <w:color w:val="000000"/>
        </w:rPr>
        <w:t xml:space="preserve">the calendar year. </w:t>
      </w:r>
      <w:r w:rsidR="00676297" w:rsidRPr="00F669B1">
        <w:rPr>
          <w:color w:val="000000"/>
        </w:rPr>
        <w:t xml:space="preserve"> </w:t>
      </w:r>
      <w:r w:rsidR="00567329" w:rsidRPr="00F669B1">
        <w:rPr>
          <w:color w:val="000000"/>
        </w:rPr>
        <w:t>...</w:t>
      </w:r>
    </w:p>
    <w:p w:rsidR="00567329" w:rsidRPr="00F669B1" w:rsidRDefault="00567329" w:rsidP="00567329">
      <w:pPr>
        <w:pStyle w:val="NoSpacing"/>
        <w:rPr>
          <w:color w:val="000000"/>
        </w:rPr>
      </w:pPr>
    </w:p>
    <w:p w:rsidR="00C6059A" w:rsidRPr="00F669B1" w:rsidRDefault="00C6059A" w:rsidP="009A0088">
      <w:pPr>
        <w:pStyle w:val="NoSpacing"/>
        <w:rPr>
          <w:color w:val="8D1829"/>
        </w:rPr>
      </w:pPr>
      <w:r w:rsidRPr="00F669B1">
        <w:rPr>
          <w:color w:val="8D1829"/>
        </w:rPr>
        <w:t>Penalties</w:t>
      </w:r>
    </w:p>
    <w:p w:rsidR="00C6059A" w:rsidRP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A manufacturer’s or GPO’s failure to report is subject to a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civil monetary penalty (CMP) of not less than $1,000 but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not more than $10,000 for each payment or transfer of value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not reported in a timely, accurate, or complete manner as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required under the regulations. The aggregate CMP that can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be imposed on each manufacturer or GPO in a given annual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 xml:space="preserve">reporting period may not exceed $150,000. If a manufacturer or GPO </w:t>
      </w:r>
      <w:r w:rsidRPr="00F669B1">
        <w:rPr>
          <w:i/>
          <w:iCs/>
          <w:color w:val="000000"/>
        </w:rPr>
        <w:t xml:space="preserve">knowingly </w:t>
      </w:r>
      <w:r w:rsidRPr="00F669B1">
        <w:rPr>
          <w:color w:val="000000"/>
        </w:rPr>
        <w:t>fails to report, the maximum</w:t>
      </w:r>
      <w:r w:rsidR="0001741B" w:rsidRPr="00F669B1">
        <w:rPr>
          <w:color w:val="FFFFFF"/>
        </w:rPr>
        <w:t xml:space="preserve"> </w:t>
      </w:r>
      <w:r w:rsidRPr="00F669B1">
        <w:rPr>
          <w:color w:val="000000"/>
        </w:rPr>
        <w:t>annual CMP is $1 million.13</w:t>
      </w:r>
    </w:p>
    <w:p w:rsidR="00164C09" w:rsidRPr="00F669B1" w:rsidRDefault="00164C09" w:rsidP="009A0088">
      <w:pPr>
        <w:pStyle w:val="NoSpacing"/>
        <w:rPr>
          <w:color w:val="000000"/>
        </w:rPr>
      </w:pPr>
    </w:p>
    <w:p w:rsidR="00C6059A" w:rsidRPr="00F669B1" w:rsidRDefault="00C6059A" w:rsidP="009A0088">
      <w:pPr>
        <w:pStyle w:val="NoSpacing"/>
        <w:rPr>
          <w:color w:val="8D1829"/>
        </w:rPr>
      </w:pPr>
      <w:r w:rsidRPr="00F669B1">
        <w:rPr>
          <w:color w:val="8D1829"/>
        </w:rPr>
        <w:t>Considerations as Reporting Deadline and Open Payments Site</w:t>
      </w:r>
      <w:r w:rsidR="0001741B" w:rsidRPr="00F669B1">
        <w:rPr>
          <w:color w:val="8D1829"/>
        </w:rPr>
        <w:t xml:space="preserve"> </w:t>
      </w:r>
      <w:r w:rsidRPr="00F669B1">
        <w:rPr>
          <w:color w:val="8D1829"/>
        </w:rPr>
        <w:t>Launch Approach</w:t>
      </w:r>
    </w:p>
    <w:p w:rsidR="00567329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While hospitals and physicians do not have an affirmative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duty to report information under the Sunshine Act, one question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they face is how proactive to be in accessing information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reported by manufacturers and GPOs. By registering with CMS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to receive notice of all their applicable payments and transfers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and monitoring Open Payments regarding affiliated physicians,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hospitals can prepare for and anticipate inquiries about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reported payments to the hospital and its physicians and use the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information as a cross-check for other reporting obligations.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The new source of information will give institutions with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public health service funding a method to uncover possibly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omitted “significant financial interests” that are required to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be reported by certain researchers under the research conflict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of-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 xml:space="preserve">interest regulations.14 </w:t>
      </w:r>
      <w:r w:rsidR="00567329" w:rsidRPr="00F669B1">
        <w:rPr>
          <w:color w:val="000000"/>
        </w:rPr>
        <w:t>…</w:t>
      </w:r>
    </w:p>
    <w:p w:rsidR="00F669B1" w:rsidRPr="00F669B1" w:rsidRDefault="00F669B1" w:rsidP="009A0088">
      <w:pPr>
        <w:pStyle w:val="NoSpacing"/>
        <w:rPr>
          <w:color w:val="000000"/>
        </w:rPr>
      </w:pPr>
    </w:p>
    <w:p w:rsidR="00567329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From a public relations perspective, close cooperation</w:t>
      </w:r>
      <w:r w:rsidR="0001741B" w:rsidRPr="00F669B1">
        <w:rPr>
          <w:color w:val="000000"/>
        </w:rPr>
        <w:t xml:space="preserve"> and strategic planning with </w:t>
      </w:r>
      <w:r w:rsidRPr="00F669B1">
        <w:rPr>
          <w:color w:val="000000"/>
        </w:rPr>
        <w:t>communications offices in the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weeks leading up to the Open Payments launch are advisable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to prepare for responses to press and patient inquiries,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particularly when there is a large amount of funding or</w:t>
      </w:r>
      <w:r w:rsidR="00676297" w:rsidRPr="00F669B1">
        <w:rPr>
          <w:color w:val="000000"/>
        </w:rPr>
        <w:t xml:space="preserve"> compensation </w:t>
      </w:r>
      <w:r w:rsidRPr="00F669B1">
        <w:rPr>
          <w:color w:val="000000"/>
        </w:rPr>
        <w:t>reported or a prominent researcher involved.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In addition, hospitals privy to information prior to its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release on Open Payments will be prepared to respond to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requests for clarification about discrepancies of reported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payments across disclosure sources. For example, a physician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in Massachusetts could have one set of disclosures</w:t>
      </w:r>
      <w:r w:rsidR="0001741B" w:rsidRPr="00F669B1">
        <w:rPr>
          <w:color w:val="000000"/>
        </w:rPr>
        <w:t xml:space="preserve"> </w:t>
      </w:r>
      <w:r w:rsidRPr="00F669B1">
        <w:rPr>
          <w:color w:val="000000"/>
        </w:rPr>
        <w:t>listed on the Open Payments website, while only a portion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of those payments are reported on a state repository because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of conflicting inclusion criteria or date ranges. Meanwhile, a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journal publication by the same physician could list yet other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disclosures, such as expert witness compensation or equity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in a basic science start-up, that are not contained on state or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federal websites, or it could list substantially higher payment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amounts because of aggregation over two or three years.</w:t>
      </w:r>
      <w:r w:rsidR="00CD744D" w:rsidRPr="00F669B1">
        <w:rPr>
          <w:color w:val="000000"/>
        </w:rPr>
        <w:t xml:space="preserve"> </w:t>
      </w:r>
      <w:r w:rsidRPr="00F669B1">
        <w:rPr>
          <w:color w:val="000000"/>
        </w:rPr>
        <w:t xml:space="preserve">Finally, the food and beverage reporting </w:t>
      </w:r>
      <w:r w:rsidR="00164C09" w:rsidRPr="00F669B1">
        <w:rPr>
          <w:color w:val="000000"/>
        </w:rPr>
        <w:t xml:space="preserve">requirement </w:t>
      </w:r>
      <w:r w:rsidRPr="00F669B1">
        <w:rPr>
          <w:color w:val="000000"/>
        </w:rPr>
        <w:t>as created its own bevy of confusion and administrative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burdens. Substantial ambiguity remains regarding the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threshold of how many attendees it takes to constitute</w:t>
      </w:r>
      <w:r w:rsidR="00CD744D" w:rsidRPr="00F669B1">
        <w:rPr>
          <w:color w:val="000000"/>
        </w:rPr>
        <w:t xml:space="preserve"> </w:t>
      </w:r>
      <w:r w:rsidRPr="00F669B1">
        <w:rPr>
          <w:color w:val="000000"/>
        </w:rPr>
        <w:t>a “large conference” that does not require food-related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reporting for buffet meals, and confusion about when there</w:t>
      </w:r>
      <w:r w:rsidR="00CD744D" w:rsidRPr="00F669B1">
        <w:rPr>
          <w:color w:val="000000"/>
        </w:rPr>
        <w:t xml:space="preserve"> </w:t>
      </w:r>
      <w:r w:rsidRPr="00F669B1">
        <w:rPr>
          <w:color w:val="000000"/>
        </w:rPr>
        <w:t>are “identified” recipients, and to what extent manufacturers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 xml:space="preserve">can require hospitals to track names of such recipients. </w:t>
      </w:r>
      <w:r w:rsidR="00567329" w:rsidRPr="00F669B1">
        <w:rPr>
          <w:color w:val="000000"/>
        </w:rPr>
        <w:t>…</w:t>
      </w:r>
    </w:p>
    <w:p w:rsidR="00F669B1" w:rsidRPr="00F669B1" w:rsidRDefault="00F669B1" w:rsidP="009A0088">
      <w:pPr>
        <w:pStyle w:val="NoSpacing"/>
        <w:rPr>
          <w:color w:val="000000"/>
        </w:rPr>
      </w:pPr>
    </w:p>
    <w:p w:rsidR="00166013" w:rsidRPr="00F669B1" w:rsidRDefault="00C6059A" w:rsidP="009A0088">
      <w:pPr>
        <w:pStyle w:val="NoSpacing"/>
        <w:rPr>
          <w:i/>
          <w:iCs/>
          <w:color w:val="000000"/>
        </w:rPr>
      </w:pPr>
      <w:r w:rsidRPr="00F669B1">
        <w:rPr>
          <w:i/>
          <w:iCs/>
          <w:color w:val="000000"/>
        </w:rPr>
        <w:t>Katherine Kraschel is a health care associate at Foley &amp;</w:t>
      </w:r>
      <w:r w:rsidR="00164C09" w:rsidRPr="00F669B1">
        <w:rPr>
          <w:i/>
          <w:iCs/>
          <w:color w:val="000000"/>
        </w:rPr>
        <w:t xml:space="preserve"> </w:t>
      </w:r>
      <w:r w:rsidRPr="00F669B1">
        <w:rPr>
          <w:i/>
          <w:iCs/>
          <w:color w:val="000000"/>
        </w:rPr>
        <w:t>Lardner LLP and a Division of Medical Ethics fellow in</w:t>
      </w:r>
      <w:r w:rsidR="00166013" w:rsidRPr="00F669B1">
        <w:rPr>
          <w:i/>
          <w:iCs/>
          <w:color w:val="000000"/>
        </w:rPr>
        <w:t xml:space="preserve"> </w:t>
      </w:r>
      <w:r w:rsidRPr="00F669B1">
        <w:rPr>
          <w:i/>
          <w:iCs/>
          <w:color w:val="000000"/>
        </w:rPr>
        <w:t>the Department of Global Health and Social Medicine at</w:t>
      </w:r>
      <w:r w:rsidR="00164C09" w:rsidRPr="00F669B1">
        <w:rPr>
          <w:i/>
          <w:iCs/>
          <w:color w:val="000000"/>
        </w:rPr>
        <w:t xml:space="preserve"> </w:t>
      </w:r>
      <w:r w:rsidRPr="00F669B1">
        <w:rPr>
          <w:i/>
          <w:iCs/>
          <w:color w:val="000000"/>
        </w:rPr>
        <w:t>Harvard Medical School.</w:t>
      </w:r>
      <w:r w:rsidR="00164C09" w:rsidRPr="00F669B1">
        <w:rPr>
          <w:i/>
          <w:iCs/>
          <w:color w:val="000000"/>
        </w:rPr>
        <w:t xml:space="preserve"> </w:t>
      </w:r>
    </w:p>
    <w:p w:rsidR="00C6059A" w:rsidRPr="00F669B1" w:rsidRDefault="00C6059A" w:rsidP="009A0088">
      <w:pPr>
        <w:pStyle w:val="NoSpacing"/>
        <w:rPr>
          <w:i/>
          <w:iCs/>
          <w:color w:val="000000"/>
        </w:rPr>
      </w:pPr>
      <w:r w:rsidRPr="00F669B1">
        <w:rPr>
          <w:i/>
          <w:iCs/>
          <w:color w:val="000000"/>
        </w:rPr>
        <w:t>Brendan Abel is a project specialist in the Office for Interactions</w:t>
      </w:r>
      <w:r w:rsidR="00164C09" w:rsidRPr="00F669B1">
        <w:rPr>
          <w:i/>
          <w:iCs/>
          <w:color w:val="000000"/>
        </w:rPr>
        <w:t xml:space="preserve"> </w:t>
      </w:r>
      <w:r w:rsidRPr="00F669B1">
        <w:rPr>
          <w:i/>
          <w:iCs/>
          <w:color w:val="000000"/>
        </w:rPr>
        <w:t>with Industry at Partners HealthCare and a Division of</w:t>
      </w:r>
      <w:r w:rsidR="00164C09" w:rsidRPr="00F669B1">
        <w:rPr>
          <w:i/>
          <w:iCs/>
          <w:color w:val="000000"/>
        </w:rPr>
        <w:t xml:space="preserve"> </w:t>
      </w:r>
      <w:r w:rsidRPr="00F669B1">
        <w:rPr>
          <w:i/>
          <w:iCs/>
          <w:color w:val="000000"/>
        </w:rPr>
        <w:t>Medical Ethics fellow in the Department of Global Health</w:t>
      </w:r>
      <w:r w:rsidR="00164C09" w:rsidRPr="00F669B1">
        <w:rPr>
          <w:i/>
          <w:iCs/>
          <w:color w:val="000000"/>
        </w:rPr>
        <w:t xml:space="preserve"> </w:t>
      </w:r>
      <w:r w:rsidRPr="00F669B1">
        <w:rPr>
          <w:i/>
          <w:iCs/>
          <w:color w:val="000000"/>
        </w:rPr>
        <w:t>and Social Medicine at Harvard Medical School.</w:t>
      </w:r>
    </w:p>
    <w:p w:rsidR="00567329" w:rsidRPr="00F669B1" w:rsidRDefault="00567329" w:rsidP="009A0088">
      <w:pPr>
        <w:pStyle w:val="NoSpacing"/>
        <w:rPr>
          <w:i/>
          <w:iCs/>
          <w:color w:val="000000"/>
        </w:rPr>
      </w:pP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lastRenderedPageBreak/>
        <w:t>1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R. Steinbrook, </w:t>
      </w:r>
      <w:r w:rsidRPr="00F669B1">
        <w:rPr>
          <w:i/>
          <w:iCs/>
          <w:color w:val="000000"/>
        </w:rPr>
        <w:t>Online Disclosure of Physician-Industry Relationships,</w:t>
      </w:r>
      <w:r w:rsidR="00164C09" w:rsidRPr="00F669B1">
        <w:rPr>
          <w:i/>
          <w:iCs/>
          <w:color w:val="000000"/>
        </w:rPr>
        <w:t xml:space="preserve"> </w:t>
      </w:r>
      <w:r w:rsidRPr="00F669B1">
        <w:rPr>
          <w:color w:val="000000"/>
        </w:rPr>
        <w:t>360 New Eng. J. Med. 325, 325 (2009).</w:t>
      </w:r>
    </w:p>
    <w:p w:rsidR="00F669B1" w:rsidRDefault="00166013" w:rsidP="009A0088">
      <w:pPr>
        <w:pStyle w:val="NoSpacing"/>
        <w:rPr>
          <w:color w:val="000000"/>
        </w:rPr>
      </w:pPr>
      <w:r w:rsidRPr="00F669B1">
        <w:rPr>
          <w:color w:val="000000"/>
        </w:rPr>
        <w:t>2</w:t>
      </w:r>
      <w:r w:rsidR="00C6059A" w:rsidRPr="00F669B1">
        <w:rPr>
          <w:color w:val="000000"/>
        </w:rPr>
        <w:t xml:space="preserve"> </w:t>
      </w:r>
      <w:r w:rsidRPr="00F669B1">
        <w:rPr>
          <w:color w:val="000000"/>
        </w:rPr>
        <w:t>-</w:t>
      </w:r>
      <w:r w:rsidR="00C6059A" w:rsidRPr="00F669B1">
        <w:rPr>
          <w:color w:val="000000"/>
        </w:rPr>
        <w:t xml:space="preserve">American Med. Ass’n, State “Sunshine” Laws, </w:t>
      </w:r>
      <w:r w:rsidR="00C6059A" w:rsidRPr="00F669B1">
        <w:rPr>
          <w:i/>
          <w:iCs/>
          <w:color w:val="000000"/>
        </w:rPr>
        <w:t xml:space="preserve">available at </w:t>
      </w:r>
      <w:hyperlink r:id="rId9" w:history="1">
        <w:r w:rsidR="003A62A8" w:rsidRPr="003A62A8">
          <w:rPr>
            <w:rStyle w:val="Hyperlink"/>
          </w:rPr>
          <w:t>https://www.ama-assn.org/sites/default/files/media-browser/specialty%20group/w</w:t>
        </w:r>
        <w:r w:rsidR="003A62A8" w:rsidRPr="003A62A8">
          <w:rPr>
            <w:rStyle w:val="Hyperlink"/>
          </w:rPr>
          <w:t>a</w:t>
        </w:r>
        <w:r w:rsidR="003A62A8" w:rsidRPr="003A62A8">
          <w:rPr>
            <w:rStyle w:val="Hyperlink"/>
          </w:rPr>
          <w:t>shington/sunshine-act-brochure.pdf</w:t>
        </w:r>
      </w:hyperlink>
    </w:p>
    <w:p w:rsidR="00F669B1" w:rsidRDefault="00166013" w:rsidP="009A0088">
      <w:pPr>
        <w:pStyle w:val="NoSpacing"/>
        <w:rPr>
          <w:i/>
          <w:iCs/>
          <w:color w:val="000000"/>
        </w:rPr>
      </w:pPr>
      <w:r w:rsidRPr="00F669B1">
        <w:rPr>
          <w:i/>
          <w:iCs/>
          <w:color w:val="000000"/>
        </w:rPr>
        <w:t xml:space="preserve"> </w:t>
      </w:r>
      <w:r w:rsidR="00C6059A" w:rsidRPr="00F669B1">
        <w:rPr>
          <w:color w:val="000000"/>
        </w:rPr>
        <w:t>3</w:t>
      </w:r>
      <w:r w:rsidRPr="00F669B1">
        <w:rPr>
          <w:color w:val="000000"/>
        </w:rPr>
        <w:t xml:space="preserve">- </w:t>
      </w:r>
      <w:r w:rsidR="00C6059A" w:rsidRPr="00F669B1">
        <w:rPr>
          <w:color w:val="000000"/>
        </w:rPr>
        <w:t xml:space="preserve">S. Agrawal, N. Brennan, and P. Budetti, </w:t>
      </w:r>
      <w:r w:rsidR="00C6059A" w:rsidRPr="00F669B1">
        <w:rPr>
          <w:i/>
          <w:iCs/>
          <w:color w:val="000000"/>
        </w:rPr>
        <w:t>The Sunshine Act—Effects on</w:t>
      </w:r>
      <w:r w:rsidR="00164C09" w:rsidRPr="00F669B1">
        <w:rPr>
          <w:i/>
          <w:iCs/>
          <w:color w:val="000000"/>
        </w:rPr>
        <w:t xml:space="preserve"> </w:t>
      </w:r>
      <w:r w:rsidR="00C6059A" w:rsidRPr="00F669B1">
        <w:rPr>
          <w:i/>
          <w:iCs/>
          <w:color w:val="000000"/>
        </w:rPr>
        <w:t>Physicians</w:t>
      </w:r>
      <w:r w:rsidR="00C6059A" w:rsidRPr="00F669B1">
        <w:rPr>
          <w:color w:val="000000"/>
        </w:rPr>
        <w:t>, 368 New Eng. J. Med. 2054, 2055 (2013).</w:t>
      </w:r>
      <w:r w:rsidRPr="00F669B1">
        <w:rPr>
          <w:i/>
          <w:iCs/>
          <w:color w:val="000000"/>
        </w:rPr>
        <w:t xml:space="preserve"> 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4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Campbell EG, Gruen RL, Mountford J, Miller LG, Cleary PD, Blumenthal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 xml:space="preserve">D., </w:t>
      </w:r>
      <w:r w:rsidRPr="00F669B1">
        <w:rPr>
          <w:i/>
          <w:iCs/>
          <w:color w:val="000000"/>
        </w:rPr>
        <w:t xml:space="preserve">A national survey of physician-industry relationships, </w:t>
      </w:r>
      <w:r w:rsidRPr="00F669B1">
        <w:rPr>
          <w:color w:val="000000"/>
        </w:rPr>
        <w:t>New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Eng. J. Med. 2007;356:1742-1750 (Of note, many of these “relationships”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would not be subject to disclosure under the Sunshine Act: many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relationships consisted of receiving food in the workplace that could be</w:t>
      </w:r>
      <w:r w:rsidR="00F669B1">
        <w:rPr>
          <w:i/>
          <w:iCs/>
          <w:color w:val="000000"/>
        </w:rPr>
        <w:t xml:space="preserve"> </w:t>
      </w:r>
      <w:r w:rsidRPr="00F669B1">
        <w:rPr>
          <w:color w:val="000000"/>
        </w:rPr>
        <w:t xml:space="preserve">under the </w:t>
      </w:r>
      <w:r w:rsidRPr="00F669B1">
        <w:rPr>
          <w:i/>
          <w:iCs/>
          <w:color w:val="000000"/>
        </w:rPr>
        <w:t xml:space="preserve">de minimis, </w:t>
      </w:r>
      <w:r w:rsidRPr="00F669B1">
        <w:rPr>
          <w:color w:val="000000"/>
        </w:rPr>
        <w:t>and many reported receiving drugs samples, which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is generally excluded in the law.).</w:t>
      </w:r>
      <w:r w:rsidR="00166013" w:rsidRPr="00F669B1">
        <w:rPr>
          <w:color w:val="000000"/>
        </w:rPr>
        <w:t xml:space="preserve"> 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5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76 Fed. Reg. 78742-78773 to be codified at 42 C.F.R. pts. 402 and 403.</w:t>
      </w:r>
    </w:p>
    <w:p w:rsidR="00C6059A" w:rsidRPr="00F669B1" w:rsidRDefault="00164C09" w:rsidP="009A0088">
      <w:pPr>
        <w:pStyle w:val="NoSpacing"/>
        <w:rPr>
          <w:i/>
          <w:iCs/>
          <w:color w:val="000000"/>
        </w:rPr>
      </w:pPr>
      <w:r w:rsidRPr="00F669B1">
        <w:rPr>
          <w:color w:val="000000"/>
        </w:rPr>
        <w:t xml:space="preserve"> </w:t>
      </w:r>
      <w:r w:rsidR="00C6059A" w:rsidRPr="00F669B1">
        <w:rPr>
          <w:color w:val="000000"/>
        </w:rPr>
        <w:t>6</w:t>
      </w:r>
      <w:r w:rsidR="00166013" w:rsidRPr="00F669B1">
        <w:rPr>
          <w:color w:val="000000"/>
        </w:rPr>
        <w:t>-</w:t>
      </w:r>
      <w:r w:rsidR="00C6059A" w:rsidRPr="00F669B1">
        <w:rPr>
          <w:color w:val="000000"/>
        </w:rPr>
        <w:t xml:space="preserve"> 78 Fed. Reg. 9458 to be codified at 42 C.F.R. pts. 402, 403.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7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CMS requires payments to be reported in one of 14 categories: charitable</w:t>
      </w:r>
      <w:r w:rsidR="00164C09" w:rsidRPr="00F669B1">
        <w:rPr>
          <w:color w:val="000000"/>
        </w:rPr>
        <w:t xml:space="preserve"> </w:t>
      </w:r>
      <w:bookmarkStart w:id="0" w:name="_GoBack"/>
      <w:bookmarkEnd w:id="0"/>
      <w:r w:rsidRPr="00F669B1">
        <w:rPr>
          <w:color w:val="000000"/>
        </w:rPr>
        <w:t>contributions, consulting fees, compensation for non-consulting services,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current or prospective ownership or investment interests, direct compensation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for speaker or faculty for medical education programs, education,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entertainment, food and beverages, gifts, grants, honoraria, research,</w:t>
      </w:r>
      <w:r w:rsidR="00F669B1">
        <w:rPr>
          <w:color w:val="000000"/>
        </w:rPr>
        <w:t xml:space="preserve"> </w:t>
      </w:r>
      <w:r w:rsidRPr="00F669B1">
        <w:rPr>
          <w:color w:val="000000"/>
        </w:rPr>
        <w:t>royalty or licenses, or travel and lodging.</w:t>
      </w:r>
      <w:r w:rsidR="00166013" w:rsidRPr="00F669B1">
        <w:rPr>
          <w:color w:val="000000"/>
        </w:rPr>
        <w:t xml:space="preserve"> 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8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The law requires manufacturers to provide the names of the recipients of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food, though CMS recently clarified that disclosure of specific recipients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is not required when it would be difficult to identify who exactly consumed</w:t>
      </w:r>
      <w:r w:rsidR="00166013" w:rsidRPr="00F669B1">
        <w:rPr>
          <w:color w:val="000000"/>
        </w:rPr>
        <w:t xml:space="preserve"> </w:t>
      </w:r>
      <w:r w:rsidRPr="00F669B1">
        <w:rPr>
          <w:color w:val="000000"/>
        </w:rPr>
        <w:t>the food and beverage.</w:t>
      </w:r>
      <w:r w:rsidR="00166013" w:rsidRPr="00F669B1">
        <w:rPr>
          <w:color w:val="000000"/>
        </w:rPr>
        <w:t xml:space="preserve"> 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9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Research is defined as “a systematic investigation designed to develop or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contribute to generalized knowledge relating to public health, including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behavioral or social sciences research. This term encompasses basic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and applied research and product development.” Centers for Medicare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&amp; Medicaid Services. Medicare, Medicaid, Children’s Health Insurance</w:t>
      </w:r>
      <w:r w:rsidR="00166013" w:rsidRPr="00F669B1">
        <w:rPr>
          <w:color w:val="000000"/>
        </w:rPr>
        <w:t xml:space="preserve"> </w:t>
      </w:r>
      <w:r w:rsidRPr="00F669B1">
        <w:rPr>
          <w:color w:val="000000"/>
        </w:rPr>
        <w:t>Programs: transparency reports and reporting of physician ownership or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investment interests.</w:t>
      </w:r>
      <w:r w:rsidR="00166013" w:rsidRPr="00F669B1">
        <w:rPr>
          <w:color w:val="000000"/>
        </w:rPr>
        <w:t xml:space="preserve"> </w:t>
      </w:r>
    </w:p>
    <w:p w:rsidR="00F669B1" w:rsidRDefault="00C6059A" w:rsidP="009A0088">
      <w:pPr>
        <w:pStyle w:val="NoSpacing"/>
        <w:rPr>
          <w:i/>
          <w:iCs/>
          <w:color w:val="000000"/>
        </w:rPr>
      </w:pPr>
      <w:r w:rsidRPr="00F669B1">
        <w:rPr>
          <w:color w:val="000000"/>
        </w:rPr>
        <w:t>10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</w:t>
      </w:r>
      <w:r w:rsidRPr="00F669B1">
        <w:rPr>
          <w:i/>
          <w:iCs/>
          <w:color w:val="000000"/>
        </w:rPr>
        <w:t xml:space="preserve">See </w:t>
      </w:r>
      <w:r w:rsidRPr="00F669B1">
        <w:rPr>
          <w:color w:val="000000"/>
        </w:rPr>
        <w:t xml:space="preserve">Gary Shangold and Michael Koren, </w:t>
      </w:r>
      <w:r w:rsidRPr="00F669B1">
        <w:rPr>
          <w:i/>
          <w:iCs/>
          <w:color w:val="000000"/>
        </w:rPr>
        <w:t>Impact of the Sunshine Law</w:t>
      </w:r>
      <w:r w:rsidR="00164C09" w:rsidRPr="00F669B1">
        <w:rPr>
          <w:i/>
          <w:iCs/>
          <w:color w:val="000000"/>
        </w:rPr>
        <w:t xml:space="preserve"> </w:t>
      </w:r>
      <w:r w:rsidRPr="00F669B1">
        <w:rPr>
          <w:i/>
          <w:iCs/>
          <w:color w:val="000000"/>
        </w:rPr>
        <w:t xml:space="preserve">‘Open Payment’ Provision on Clinical Research, </w:t>
      </w:r>
      <w:r w:rsidRPr="00F669B1">
        <w:rPr>
          <w:color w:val="000000"/>
        </w:rPr>
        <w:t>12 MRLR 828 (2013).</w:t>
      </w:r>
      <w:r w:rsidR="00164C09" w:rsidRPr="00F669B1">
        <w:rPr>
          <w:i/>
          <w:iCs/>
          <w:color w:val="000000"/>
        </w:rPr>
        <w:t xml:space="preserve"> 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11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</w:t>
      </w:r>
      <w:r w:rsidRPr="00F669B1">
        <w:rPr>
          <w:i/>
          <w:iCs/>
          <w:color w:val="000000"/>
        </w:rPr>
        <w:t>Id.</w:t>
      </w:r>
      <w:r w:rsidR="00166013" w:rsidRPr="00F669B1">
        <w:rPr>
          <w:color w:val="000000"/>
        </w:rPr>
        <w:t xml:space="preserve"> 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12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As of the date of submission, CMS has not yet opened registration for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manufacturers and has changed the date of registration opening from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January 1, 2013 to “early 2014.”</w:t>
      </w:r>
      <w:r w:rsidR="00166013" w:rsidRPr="00F669B1">
        <w:rPr>
          <w:color w:val="000000"/>
        </w:rPr>
        <w:t xml:space="preserve"> </w:t>
      </w:r>
    </w:p>
    <w:p w:rsid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13</w:t>
      </w:r>
      <w:r w:rsidR="00166013" w:rsidRPr="00F669B1">
        <w:rPr>
          <w:color w:val="000000"/>
        </w:rPr>
        <w:t>-</w:t>
      </w:r>
      <w:r w:rsidRPr="00F669B1">
        <w:rPr>
          <w:color w:val="000000"/>
        </w:rPr>
        <w:t xml:space="preserve"> Factors used in determining the amount of CMP imposed include: the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length of time the manufacturer or GPO failed to report, including the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amount of time the manufacturer or GPO knew of the payments or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transfer of value that should be reported; the amount of payment the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manufacturer or GPO failed to report; the level of culpability of the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manufacturer or GPO; the nature and amount of information reported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in error; and the degree of di</w:t>
      </w:r>
      <w:r w:rsidR="00164C09" w:rsidRPr="00F669B1">
        <w:rPr>
          <w:color w:val="000000"/>
        </w:rPr>
        <w:t xml:space="preserve">ligence exercised in correcting </w:t>
      </w:r>
      <w:r w:rsidRPr="00F669B1">
        <w:rPr>
          <w:color w:val="000000"/>
        </w:rPr>
        <w:t>information</w:t>
      </w:r>
      <w:r w:rsidR="00164C09" w:rsidRPr="00F669B1">
        <w:rPr>
          <w:color w:val="000000"/>
        </w:rPr>
        <w:t xml:space="preserve"> </w:t>
      </w:r>
      <w:r w:rsidRPr="00F669B1">
        <w:rPr>
          <w:color w:val="000000"/>
        </w:rPr>
        <w:t>reported in error.</w:t>
      </w:r>
      <w:r w:rsidR="00164C09" w:rsidRPr="00F669B1">
        <w:rPr>
          <w:color w:val="000000"/>
        </w:rPr>
        <w:t xml:space="preserve"> </w:t>
      </w:r>
    </w:p>
    <w:p w:rsidR="00C6059A" w:rsidRPr="00F669B1" w:rsidRDefault="00C6059A" w:rsidP="009A0088">
      <w:pPr>
        <w:pStyle w:val="NoSpacing"/>
        <w:rPr>
          <w:color w:val="000000"/>
        </w:rPr>
      </w:pPr>
      <w:r w:rsidRPr="00F669B1">
        <w:rPr>
          <w:color w:val="000000"/>
        </w:rPr>
        <w:t>14 42 C.F.R. pt. 50, subpt. F; 42 C.F.R. pt. 94</w:t>
      </w:r>
    </w:p>
    <w:p w:rsidR="00567329" w:rsidRPr="00F669B1" w:rsidRDefault="00567329" w:rsidP="009A0088">
      <w:pPr>
        <w:pStyle w:val="NoSpacing"/>
        <w:rPr>
          <w:color w:val="000000"/>
        </w:rPr>
      </w:pPr>
    </w:p>
    <w:sectPr w:rsidR="00567329" w:rsidRPr="00F669B1" w:rsidSect="000A287A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97" w:rsidRDefault="00676297" w:rsidP="00676297">
      <w:pPr>
        <w:spacing w:after="0" w:line="240" w:lineRule="auto"/>
      </w:pPr>
      <w:r>
        <w:separator/>
      </w:r>
    </w:p>
  </w:endnote>
  <w:endnote w:type="continuationSeparator" w:id="0">
    <w:p w:rsidR="00676297" w:rsidRDefault="00676297" w:rsidP="0067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05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297" w:rsidRDefault="006762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2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6297" w:rsidRDefault="0067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97" w:rsidRDefault="00676297" w:rsidP="00676297">
      <w:pPr>
        <w:spacing w:after="0" w:line="240" w:lineRule="auto"/>
      </w:pPr>
      <w:r>
        <w:separator/>
      </w:r>
    </w:p>
  </w:footnote>
  <w:footnote w:type="continuationSeparator" w:id="0">
    <w:p w:rsidR="00676297" w:rsidRDefault="00676297" w:rsidP="0067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12" w:rsidRDefault="00633B87">
    <w:pPr>
      <w:pStyle w:val="Header"/>
    </w:pPr>
    <w:r>
      <w:t>Sunshine Act AHLA v4</w:t>
    </w:r>
  </w:p>
  <w:p w:rsidR="00B57D12" w:rsidRDefault="00B57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37"/>
    <w:rsid w:val="00010419"/>
    <w:rsid w:val="0001741B"/>
    <w:rsid w:val="000A287A"/>
    <w:rsid w:val="000E01CB"/>
    <w:rsid w:val="00164C09"/>
    <w:rsid w:val="00166013"/>
    <w:rsid w:val="001E2338"/>
    <w:rsid w:val="002F1E1E"/>
    <w:rsid w:val="003316AD"/>
    <w:rsid w:val="003A62A8"/>
    <w:rsid w:val="003B08F2"/>
    <w:rsid w:val="003C1DDE"/>
    <w:rsid w:val="004A0F16"/>
    <w:rsid w:val="00567329"/>
    <w:rsid w:val="00633B87"/>
    <w:rsid w:val="0064401E"/>
    <w:rsid w:val="00676297"/>
    <w:rsid w:val="009A0088"/>
    <w:rsid w:val="00A86B39"/>
    <w:rsid w:val="00AC460D"/>
    <w:rsid w:val="00B57D12"/>
    <w:rsid w:val="00B919F6"/>
    <w:rsid w:val="00C01EA9"/>
    <w:rsid w:val="00C6059A"/>
    <w:rsid w:val="00CD744D"/>
    <w:rsid w:val="00CE4837"/>
    <w:rsid w:val="00D20707"/>
    <w:rsid w:val="00D874DD"/>
    <w:rsid w:val="00ED3E66"/>
    <w:rsid w:val="00F669B1"/>
    <w:rsid w:val="00F71444"/>
    <w:rsid w:val="00F76A2B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F7770A"/>
  <w15:docId w15:val="{E547514B-5D78-4307-B088-5F88B6D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00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97"/>
  </w:style>
  <w:style w:type="paragraph" w:styleId="Footer">
    <w:name w:val="footer"/>
    <w:basedOn w:val="Normal"/>
    <w:link w:val="FooterChar"/>
    <w:uiPriority w:val="99"/>
    <w:unhideWhenUsed/>
    <w:rsid w:val="0067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97"/>
  </w:style>
  <w:style w:type="character" w:styleId="FollowedHyperlink">
    <w:name w:val="FollowedHyperlink"/>
    <w:basedOn w:val="DefaultParagraphFont"/>
    <w:uiPriority w:val="99"/>
    <w:semiHidden/>
    <w:unhideWhenUsed/>
    <w:rsid w:val="003A6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lawyers.org/Members/PracticeGroups/IHC/Documents/IHC_March14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ma-assn.org/sites/default/files/media-browser/specialty%20group/washington/sunshine-act-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jmarie</dc:creator>
  <cp:lastModifiedBy>Robicheaux, Zachary J.</cp:lastModifiedBy>
  <cp:revision>10</cp:revision>
  <cp:lastPrinted>2015-12-16T20:46:00Z</cp:lastPrinted>
  <dcterms:created xsi:type="dcterms:W3CDTF">2015-12-15T16:30:00Z</dcterms:created>
  <dcterms:modified xsi:type="dcterms:W3CDTF">2017-12-20T21:13:00Z</dcterms:modified>
</cp:coreProperties>
</file>