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87A" w:rsidRPr="00F669B1" w:rsidRDefault="000A287A" w:rsidP="009A0088">
      <w:pPr>
        <w:pStyle w:val="NoSpacing"/>
        <w:rPr>
          <w:color w:val="000000"/>
          <w:sz w:val="24"/>
          <w:szCs w:val="24"/>
          <w:u w:val="single"/>
        </w:rPr>
        <w:sectPr w:rsidR="000A287A" w:rsidRPr="00F669B1" w:rsidSect="00C6059A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6059A" w:rsidRPr="003C1DDE" w:rsidRDefault="00C6059A" w:rsidP="009A0088">
      <w:pPr>
        <w:pStyle w:val="NoSpacing"/>
        <w:rPr>
          <w:sz w:val="20"/>
          <w:szCs w:val="20"/>
        </w:rPr>
      </w:pPr>
      <w:r w:rsidRPr="00F669B1">
        <w:rPr>
          <w:color w:val="000000"/>
          <w:sz w:val="24"/>
          <w:szCs w:val="24"/>
          <w:u w:val="single"/>
        </w:rPr>
        <w:t>The Sunshine Act: Shining Light on</w:t>
      </w:r>
      <w:r w:rsidR="00164C09" w:rsidRPr="00F669B1">
        <w:rPr>
          <w:color w:val="000000"/>
          <w:sz w:val="24"/>
          <w:szCs w:val="24"/>
          <w:u w:val="single"/>
        </w:rPr>
        <w:t xml:space="preserve"> </w:t>
      </w:r>
      <w:r w:rsidRPr="00F669B1">
        <w:rPr>
          <w:color w:val="000000"/>
          <w:sz w:val="24"/>
          <w:szCs w:val="24"/>
          <w:u w:val="single"/>
        </w:rPr>
        <w:t>Impending Implementation</w:t>
      </w:r>
      <w:r w:rsidR="00567329" w:rsidRPr="003C1DDE">
        <w:rPr>
          <w:color w:val="000000"/>
          <w:u w:val="single"/>
        </w:rPr>
        <w:t xml:space="preserve"> </w:t>
      </w:r>
      <w:r w:rsidRPr="003C1DDE">
        <w:rPr>
          <w:b/>
          <w:bCs/>
          <w:i/>
          <w:iCs/>
          <w:color w:val="000000"/>
          <w:sz w:val="20"/>
          <w:szCs w:val="20"/>
        </w:rPr>
        <w:t>Katherine L. Kraschel*</w:t>
      </w:r>
      <w:r w:rsidRPr="003C1DDE">
        <w:rPr>
          <w:i/>
          <w:iCs/>
          <w:color w:val="000000"/>
          <w:sz w:val="20"/>
          <w:szCs w:val="20"/>
        </w:rPr>
        <w:t>Foley &amp; Lardner LLP Boston, MA</w:t>
      </w:r>
      <w:r w:rsidR="00164C09" w:rsidRPr="003C1DDE">
        <w:rPr>
          <w:b/>
          <w:bCs/>
          <w:i/>
          <w:iCs/>
          <w:color w:val="000000"/>
          <w:sz w:val="20"/>
          <w:szCs w:val="20"/>
        </w:rPr>
        <w:t xml:space="preserve"> </w:t>
      </w:r>
      <w:r w:rsidRPr="003C1DDE">
        <w:rPr>
          <w:b/>
          <w:bCs/>
          <w:i/>
          <w:iCs/>
          <w:color w:val="000000"/>
          <w:sz w:val="20"/>
          <w:szCs w:val="20"/>
        </w:rPr>
        <w:t xml:space="preserve">Brendan Abel </w:t>
      </w:r>
      <w:r w:rsidRPr="003C1DDE">
        <w:rPr>
          <w:i/>
          <w:iCs/>
          <w:color w:val="000000"/>
          <w:sz w:val="20"/>
          <w:szCs w:val="20"/>
        </w:rPr>
        <w:t>Office for Interactions with Industry</w:t>
      </w:r>
      <w:r w:rsidR="00567329" w:rsidRPr="003C1DDE">
        <w:rPr>
          <w:color w:val="000000"/>
          <w:u w:val="single"/>
        </w:rPr>
        <w:t xml:space="preserve"> </w:t>
      </w:r>
      <w:r w:rsidRPr="003C1DDE">
        <w:rPr>
          <w:i/>
          <w:iCs/>
          <w:color w:val="000000"/>
          <w:sz w:val="20"/>
          <w:szCs w:val="20"/>
        </w:rPr>
        <w:t>Partners HealthCare  Boston, MA</w:t>
      </w:r>
      <w:r w:rsidR="00567329" w:rsidRPr="003C1DDE">
        <w:rPr>
          <w:i/>
          <w:iCs/>
          <w:color w:val="000000"/>
          <w:sz w:val="20"/>
          <w:szCs w:val="20"/>
        </w:rPr>
        <w:t xml:space="preserve">  </w:t>
      </w:r>
      <w:hyperlink r:id="rId8" w:history="1">
        <w:r w:rsidR="00567329" w:rsidRPr="003C1DDE">
          <w:rPr>
            <w:rStyle w:val="Hyperlink"/>
            <w:rFonts w:cs="Arial"/>
            <w:sz w:val="20"/>
            <w:szCs w:val="20"/>
          </w:rPr>
          <w:t>http://www.healthlawyers.org/Members/PracticeGroups/IHC/Documents/IHC_March14.pdf</w:t>
        </w:r>
      </w:hyperlink>
    </w:p>
    <w:p w:rsidR="00C6059A" w:rsidRPr="003C1DDE" w:rsidRDefault="00C6059A" w:rsidP="009A0088">
      <w:pPr>
        <w:pStyle w:val="NoSpacing"/>
        <w:rPr>
          <w:i/>
          <w:iCs/>
          <w:color w:val="000000"/>
          <w:sz w:val="20"/>
          <w:szCs w:val="20"/>
        </w:rPr>
      </w:pPr>
    </w:p>
    <w:p w:rsidR="00C6059A" w:rsidRPr="00F669B1" w:rsidRDefault="00164C09" w:rsidP="009A0088">
      <w:pPr>
        <w:pStyle w:val="NoSpacing"/>
        <w:rPr>
          <w:color w:val="000000"/>
        </w:rPr>
      </w:pPr>
      <w:r w:rsidRPr="00F669B1">
        <w:rPr>
          <w:b/>
          <w:color w:val="F7D15B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T</w:t>
      </w:r>
      <w:r w:rsidR="00C6059A" w:rsidRPr="00F669B1">
        <w:rPr>
          <w:color w:val="000000"/>
        </w:rPr>
        <w:t>he Physician Payments Sunshine Act (Sunshine Act or Act)</w:t>
      </w:r>
      <w:r w:rsidR="003316AD" w:rsidRPr="00F669B1">
        <w:rPr>
          <w:color w:val="000000"/>
        </w:rPr>
        <w:t xml:space="preserve"> </w:t>
      </w:r>
      <w:r w:rsidR="00C6059A" w:rsidRPr="00F669B1">
        <w:rPr>
          <w:color w:val="000000"/>
        </w:rPr>
        <w:t>is a rarely cited component of the Affordable Care Act(ACA). The Sunshine Act increases the transparency of</w:t>
      </w:r>
      <w:r w:rsidR="003316AD" w:rsidRPr="00F669B1">
        <w:rPr>
          <w:color w:val="000000"/>
        </w:rPr>
        <w:t xml:space="preserve"> </w:t>
      </w:r>
      <w:r w:rsidR="00C6059A" w:rsidRPr="00F669B1">
        <w:rPr>
          <w:color w:val="000000"/>
        </w:rPr>
        <w:t>payments and other transfers of value from manufacturers or</w:t>
      </w:r>
      <w:r w:rsidR="00F669B1">
        <w:rPr>
          <w:color w:val="000000"/>
        </w:rPr>
        <w:t xml:space="preserve"> </w:t>
      </w:r>
      <w:r w:rsidR="00C6059A" w:rsidRPr="00F669B1">
        <w:rPr>
          <w:color w:val="000000"/>
        </w:rPr>
        <w:t>group purchasing organizations (GPOs) of pharmaceuticals</w:t>
      </w:r>
      <w:r w:rsidR="003316AD" w:rsidRPr="00F669B1">
        <w:rPr>
          <w:color w:val="000000"/>
        </w:rPr>
        <w:t xml:space="preserve"> </w:t>
      </w:r>
      <w:r w:rsidR="00C6059A" w:rsidRPr="00F669B1">
        <w:rPr>
          <w:color w:val="000000"/>
        </w:rPr>
        <w:t>and medical devices to physicians and hospitals. With the first</w:t>
      </w:r>
      <w:r w:rsidR="00F669B1">
        <w:rPr>
          <w:color w:val="000000"/>
        </w:rPr>
        <w:t xml:space="preserve"> </w:t>
      </w:r>
      <w:r w:rsidR="00C6059A" w:rsidRPr="00F669B1">
        <w:rPr>
          <w:color w:val="000000"/>
        </w:rPr>
        <w:t>annual reporting deadline for manufacturers approaching on</w:t>
      </w:r>
      <w:r w:rsidR="003316AD" w:rsidRPr="00F669B1">
        <w:rPr>
          <w:color w:val="000000"/>
        </w:rPr>
        <w:t xml:space="preserve"> </w:t>
      </w:r>
      <w:r w:rsidR="00C6059A" w:rsidRPr="00F669B1">
        <w:rPr>
          <w:color w:val="000000"/>
        </w:rPr>
        <w:t>March 31, and the launch of a resulting public, searchable</w:t>
      </w:r>
      <w:r w:rsidR="00F669B1">
        <w:rPr>
          <w:color w:val="000000"/>
        </w:rPr>
        <w:t xml:space="preserve"> </w:t>
      </w:r>
      <w:r w:rsidR="00C6059A" w:rsidRPr="00F669B1">
        <w:rPr>
          <w:color w:val="000000"/>
        </w:rPr>
        <w:t>website, entitled Open Payments, listing details of payments</w:t>
      </w:r>
      <w:r w:rsidR="003316AD" w:rsidRPr="00F669B1">
        <w:rPr>
          <w:color w:val="000000"/>
        </w:rPr>
        <w:t xml:space="preserve"> </w:t>
      </w:r>
      <w:r w:rsidR="00C6059A" w:rsidRPr="00F669B1">
        <w:rPr>
          <w:color w:val="000000"/>
        </w:rPr>
        <w:t>to individual physicians slated for September, this provision</w:t>
      </w:r>
      <w:r w:rsidR="00F669B1">
        <w:rPr>
          <w:color w:val="000000"/>
        </w:rPr>
        <w:t xml:space="preserve"> </w:t>
      </w:r>
      <w:r w:rsidR="00C6059A" w:rsidRPr="00F669B1">
        <w:rPr>
          <w:color w:val="000000"/>
        </w:rPr>
        <w:t>of the law will attract the attention of affected parties such</w:t>
      </w:r>
      <w:r w:rsidR="003316AD" w:rsidRPr="00F669B1">
        <w:rPr>
          <w:color w:val="000000"/>
        </w:rPr>
        <w:t xml:space="preserve"> </w:t>
      </w:r>
      <w:r w:rsidR="00C6059A" w:rsidRPr="00F669B1">
        <w:rPr>
          <w:color w:val="000000"/>
        </w:rPr>
        <w:t>as manufacturers, physicians, and hospitals as well as third</w:t>
      </w:r>
      <w:r w:rsidR="00F669B1">
        <w:rPr>
          <w:color w:val="000000"/>
        </w:rPr>
        <w:t xml:space="preserve"> </w:t>
      </w:r>
      <w:r w:rsidR="00C6059A" w:rsidRPr="00F669B1">
        <w:rPr>
          <w:color w:val="000000"/>
        </w:rPr>
        <w:t>parties such as the media and health care consumers.</w:t>
      </w:r>
    </w:p>
    <w:p w:rsidR="00D874DD" w:rsidRPr="00F669B1" w:rsidRDefault="00D874DD" w:rsidP="009A0088">
      <w:pPr>
        <w:pStyle w:val="NoSpacing"/>
        <w:rPr>
          <w:color w:val="000000"/>
        </w:rPr>
      </w:pPr>
    </w:p>
    <w:p w:rsidR="00C6059A" w:rsidRPr="00F669B1" w:rsidRDefault="00C6059A" w:rsidP="009A0088">
      <w:pPr>
        <w:pStyle w:val="NoSpacing"/>
        <w:rPr>
          <w:color w:val="8D1829"/>
        </w:rPr>
      </w:pPr>
      <w:r w:rsidRPr="00F669B1">
        <w:rPr>
          <w:color w:val="8D1829"/>
        </w:rPr>
        <w:t>History</w:t>
      </w:r>
    </w:p>
    <w:p w:rsidR="00C6059A" w:rsidRPr="00F669B1" w:rsidRDefault="00C6059A" w:rsidP="009A0088">
      <w:pPr>
        <w:pStyle w:val="NoSpacing"/>
        <w:rPr>
          <w:color w:val="000000"/>
        </w:rPr>
      </w:pPr>
      <w:r w:rsidRPr="00F669B1">
        <w:rPr>
          <w:color w:val="000000"/>
        </w:rPr>
        <w:t>Disclosure of financial interests is not a new concept within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the medical community. The Cleveland Clinic, for example,</w:t>
      </w:r>
      <w:r w:rsidR="00F669B1">
        <w:rPr>
          <w:color w:val="000000"/>
        </w:rPr>
        <w:t xml:space="preserve"> </w:t>
      </w:r>
      <w:r w:rsidRPr="00F669B1">
        <w:rPr>
          <w:color w:val="000000"/>
        </w:rPr>
        <w:t>has required the posting of certain information regarding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their physicians’ ties with industry on its website since</w:t>
      </w:r>
      <w:r w:rsidR="00F669B1">
        <w:rPr>
          <w:color w:val="000000"/>
        </w:rPr>
        <w:t xml:space="preserve"> </w:t>
      </w:r>
      <w:r w:rsidRPr="00F669B1">
        <w:rPr>
          <w:color w:val="000000"/>
        </w:rPr>
        <w:t>2007.1 Several states, including Massachusetts, Minnesota,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and Vermont, have passed legislation requiring public</w:t>
      </w:r>
      <w:r w:rsidR="00F669B1">
        <w:rPr>
          <w:color w:val="000000"/>
        </w:rPr>
        <w:t xml:space="preserve"> </w:t>
      </w:r>
      <w:r w:rsidRPr="00F669B1">
        <w:rPr>
          <w:color w:val="000000"/>
        </w:rPr>
        <w:t>reporting of certain information about payments made to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physicians.2 At least 13 pharmaceutical companies are now</w:t>
      </w:r>
      <w:r w:rsidR="00F669B1">
        <w:rPr>
          <w:color w:val="000000"/>
        </w:rPr>
        <w:t xml:space="preserve"> </w:t>
      </w:r>
      <w:r w:rsidRPr="00F669B1">
        <w:rPr>
          <w:color w:val="000000"/>
        </w:rPr>
        <w:t>required to publicly post information about payments they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make to physicians as conditions of corporate integrity</w:t>
      </w:r>
      <w:r w:rsidR="00F669B1">
        <w:rPr>
          <w:color w:val="000000"/>
        </w:rPr>
        <w:t xml:space="preserve"> </w:t>
      </w:r>
      <w:r w:rsidRPr="00F669B1">
        <w:rPr>
          <w:color w:val="000000"/>
        </w:rPr>
        <w:t>agreements.3 Lastly, many industry and medical professional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societies require disclosure of certain financial interests either</w:t>
      </w:r>
      <w:r w:rsidR="00F669B1">
        <w:rPr>
          <w:color w:val="000000"/>
        </w:rPr>
        <w:t xml:space="preserve"> </w:t>
      </w:r>
      <w:r w:rsidRPr="00F669B1">
        <w:rPr>
          <w:color w:val="000000"/>
        </w:rPr>
        <w:t>publicly or in relevant situations (i.e., presentations, journal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publications, advisory boards, etc.). Never before, though,</w:t>
      </w:r>
      <w:r w:rsidR="00F669B1">
        <w:rPr>
          <w:color w:val="000000"/>
        </w:rPr>
        <w:t xml:space="preserve"> </w:t>
      </w:r>
      <w:r w:rsidRPr="00F669B1">
        <w:rPr>
          <w:color w:val="000000"/>
        </w:rPr>
        <w:t>have financial disclosure requirements come from the federal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government to the biomedical community, and rarely have</w:t>
      </w:r>
    </w:p>
    <w:p w:rsidR="00F669B1" w:rsidRDefault="00C6059A" w:rsidP="009A0088">
      <w:pPr>
        <w:pStyle w:val="NoSpacing"/>
        <w:rPr>
          <w:color w:val="000000"/>
        </w:rPr>
      </w:pPr>
      <w:r w:rsidRPr="00F669B1">
        <w:rPr>
          <w:color w:val="000000"/>
        </w:rPr>
        <w:t>disclosure requirements, regardless of source, been as expansive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as those contained in the Sunshine Act.</w:t>
      </w:r>
      <w:r w:rsidR="000E01CB" w:rsidRPr="00F669B1">
        <w:rPr>
          <w:color w:val="000000"/>
        </w:rPr>
        <w:t xml:space="preserve">  </w:t>
      </w:r>
    </w:p>
    <w:p w:rsidR="00F669B1" w:rsidRDefault="00F669B1" w:rsidP="009A0088">
      <w:pPr>
        <w:pStyle w:val="NoSpacing"/>
        <w:rPr>
          <w:color w:val="000000"/>
        </w:rPr>
      </w:pPr>
    </w:p>
    <w:p w:rsidR="00F669B1" w:rsidRDefault="00ED3E66" w:rsidP="009A0088">
      <w:pPr>
        <w:pStyle w:val="NoSpacing"/>
        <w:rPr>
          <w:color w:val="000000"/>
        </w:rPr>
      </w:pPr>
      <w:r w:rsidRPr="00F669B1">
        <w:rPr>
          <w:color w:val="000000"/>
        </w:rPr>
        <w:t>T</w:t>
      </w:r>
      <w:r w:rsidR="00C6059A" w:rsidRPr="00F669B1">
        <w:rPr>
          <w:color w:val="000000"/>
        </w:rPr>
        <w:t>he</w:t>
      </w:r>
      <w:r w:rsidR="003316AD" w:rsidRPr="00F669B1">
        <w:rPr>
          <w:color w:val="000000"/>
        </w:rPr>
        <w:t xml:space="preserve"> </w:t>
      </w:r>
      <w:r w:rsidR="00C6059A" w:rsidRPr="00F669B1">
        <w:rPr>
          <w:color w:val="000000"/>
        </w:rPr>
        <w:t>ACA provided the perfect avenue through which to pas</w:t>
      </w:r>
      <w:r w:rsidR="000E01CB" w:rsidRPr="00F669B1">
        <w:rPr>
          <w:color w:val="000000"/>
        </w:rPr>
        <w:t xml:space="preserve">s the Act which includes a myriad of components </w:t>
      </w:r>
      <w:r w:rsidR="00C6059A" w:rsidRPr="00F669B1">
        <w:rPr>
          <w:color w:val="000000"/>
        </w:rPr>
        <w:t>added by individual legislators during the chaotic</w:t>
      </w:r>
      <w:r w:rsidR="000E01CB" w:rsidRPr="00F669B1">
        <w:rPr>
          <w:color w:val="000000"/>
        </w:rPr>
        <w:t xml:space="preserve"> </w:t>
      </w:r>
      <w:r w:rsidR="00C6059A" w:rsidRPr="00F669B1">
        <w:rPr>
          <w:color w:val="000000"/>
        </w:rPr>
        <w:t>drafting and negotiating of the bill.</w:t>
      </w:r>
      <w:r w:rsidR="003316AD" w:rsidRPr="00F669B1">
        <w:rPr>
          <w:color w:val="000000"/>
        </w:rPr>
        <w:t xml:space="preserve"> </w:t>
      </w:r>
      <w:r w:rsidR="00C6059A" w:rsidRPr="00F669B1">
        <w:rPr>
          <w:color w:val="000000"/>
        </w:rPr>
        <w:t>The resistance in the path towards passage was not surprising</w:t>
      </w:r>
      <w:r w:rsidR="0001741B" w:rsidRPr="00F669B1">
        <w:rPr>
          <w:color w:val="000000"/>
        </w:rPr>
        <w:t xml:space="preserve"> </w:t>
      </w:r>
      <w:r w:rsidR="00C6059A" w:rsidRPr="00F669B1">
        <w:rPr>
          <w:color w:val="000000"/>
        </w:rPr>
        <w:t>given the large number of financial relationships that potentially</w:t>
      </w:r>
      <w:r w:rsidR="003316AD" w:rsidRPr="00F669B1">
        <w:rPr>
          <w:color w:val="000000"/>
        </w:rPr>
        <w:t xml:space="preserve"> </w:t>
      </w:r>
      <w:r w:rsidR="00C6059A" w:rsidRPr="00F669B1">
        <w:rPr>
          <w:color w:val="000000"/>
        </w:rPr>
        <w:t>require disclosure and thus create an administrative</w:t>
      </w:r>
      <w:r w:rsidR="0001741B" w:rsidRPr="00F669B1">
        <w:rPr>
          <w:color w:val="000000"/>
        </w:rPr>
        <w:t xml:space="preserve"> </w:t>
      </w:r>
      <w:r w:rsidR="00C6059A" w:rsidRPr="00F669B1">
        <w:rPr>
          <w:color w:val="000000"/>
        </w:rPr>
        <w:t xml:space="preserve">burden for manufacturers and GPOs. </w:t>
      </w:r>
    </w:p>
    <w:p w:rsidR="00F669B1" w:rsidRDefault="00F669B1" w:rsidP="009A0088">
      <w:pPr>
        <w:pStyle w:val="NoSpacing"/>
        <w:rPr>
          <w:color w:val="000000"/>
        </w:rPr>
      </w:pPr>
    </w:p>
    <w:p w:rsidR="00C6059A" w:rsidRDefault="00C6059A" w:rsidP="009A0088">
      <w:pPr>
        <w:pStyle w:val="NoSpacing"/>
        <w:rPr>
          <w:color w:val="000000"/>
        </w:rPr>
      </w:pPr>
      <w:r w:rsidRPr="00F669B1">
        <w:rPr>
          <w:color w:val="000000"/>
        </w:rPr>
        <w:t>In a large-scale survey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in 2007 of more than 3,000 physicians across six specialties,</w:t>
      </w:r>
      <w:r w:rsidR="0001741B" w:rsidRPr="00F669B1">
        <w:rPr>
          <w:color w:val="000000"/>
        </w:rPr>
        <w:t xml:space="preserve"> </w:t>
      </w:r>
      <w:r w:rsidRPr="00F669B1">
        <w:rPr>
          <w:color w:val="000000"/>
        </w:rPr>
        <w:t>94% of physicians reported some type of relationship with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industry, while 18% reported receiving compensation for</w:t>
      </w:r>
      <w:r w:rsidR="0001741B" w:rsidRPr="00F669B1">
        <w:rPr>
          <w:color w:val="000000"/>
        </w:rPr>
        <w:t xml:space="preserve"> </w:t>
      </w:r>
      <w:r w:rsidRPr="00F669B1">
        <w:rPr>
          <w:color w:val="000000"/>
        </w:rPr>
        <w:t>consulting.4 A substantial portion of the biomedical community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will be affected by the law, leading physicians, hospitals,</w:t>
      </w:r>
      <w:r w:rsidR="0001741B" w:rsidRPr="00F669B1">
        <w:rPr>
          <w:color w:val="000000"/>
        </w:rPr>
        <w:t xml:space="preserve"> </w:t>
      </w:r>
      <w:r w:rsidRPr="00F669B1">
        <w:rPr>
          <w:color w:val="000000"/>
        </w:rPr>
        <w:t>and manufacturers to pay close attention to the regulations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that operationalize the law as they have emerged.</w:t>
      </w:r>
    </w:p>
    <w:p w:rsidR="00F669B1" w:rsidRPr="00F669B1" w:rsidRDefault="00F669B1" w:rsidP="009A0088">
      <w:pPr>
        <w:pStyle w:val="NoSpacing"/>
        <w:rPr>
          <w:color w:val="000000"/>
        </w:rPr>
      </w:pPr>
    </w:p>
    <w:p w:rsidR="00164C09" w:rsidRPr="00F669B1" w:rsidRDefault="00C6059A" w:rsidP="009A0088">
      <w:pPr>
        <w:pStyle w:val="NoSpacing"/>
        <w:rPr>
          <w:color w:val="000000"/>
        </w:rPr>
      </w:pPr>
      <w:r w:rsidRPr="00F669B1">
        <w:rPr>
          <w:color w:val="000000"/>
        </w:rPr>
        <w:t>The Centers for Medicare &amp; Medicaid Services (CMS) issued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proposed regulations in December 2011 and requested</w:t>
      </w:r>
      <w:r w:rsidR="00F669B1">
        <w:rPr>
          <w:color w:val="000000"/>
        </w:rPr>
        <w:t xml:space="preserve"> </w:t>
      </w:r>
      <w:r w:rsidRPr="00F669B1">
        <w:rPr>
          <w:color w:val="000000"/>
        </w:rPr>
        <w:t>commentary from all interested parties.5 In February 2013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CMS issued final regulations that require reporting of</w:t>
      </w:r>
      <w:r w:rsidR="00F669B1">
        <w:rPr>
          <w:color w:val="000000"/>
        </w:rPr>
        <w:t xml:space="preserve"> </w:t>
      </w:r>
      <w:r w:rsidRPr="00F669B1">
        <w:rPr>
          <w:color w:val="000000"/>
        </w:rPr>
        <w:t>payments or transfers of value from all pharmaceutical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and medical device manufacturers and GPOs to physicians</w:t>
      </w:r>
      <w:r w:rsidR="00F669B1">
        <w:rPr>
          <w:color w:val="000000"/>
        </w:rPr>
        <w:t xml:space="preserve"> </w:t>
      </w:r>
      <w:r w:rsidRPr="00F669B1">
        <w:rPr>
          <w:color w:val="000000"/>
        </w:rPr>
        <w:t>or teaching hospitals (covered recipients) occurring on or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after August 1, 2013 for calendar year 2013.6 Reports for</w:t>
      </w:r>
      <w:r w:rsidR="00F669B1">
        <w:rPr>
          <w:color w:val="000000"/>
        </w:rPr>
        <w:t xml:space="preserve"> </w:t>
      </w:r>
      <w:r w:rsidRPr="00F669B1">
        <w:rPr>
          <w:color w:val="000000"/>
        </w:rPr>
        <w:t>the shortened August-December 2013 calendar year must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be submitted by manufacturers and GPOs electronically to</w:t>
      </w:r>
      <w:r w:rsidR="00F669B1">
        <w:rPr>
          <w:color w:val="000000"/>
        </w:rPr>
        <w:t xml:space="preserve"> </w:t>
      </w:r>
      <w:r w:rsidRPr="00F669B1">
        <w:rPr>
          <w:color w:val="000000"/>
        </w:rPr>
        <w:t>CMS by March 31, 2014 and will be due on the 90th day of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each year for the subsequent calendar year.</w:t>
      </w:r>
      <w:r w:rsidR="00164C09" w:rsidRPr="00F669B1">
        <w:rPr>
          <w:color w:val="000000"/>
        </w:rPr>
        <w:t xml:space="preserve"> </w:t>
      </w:r>
    </w:p>
    <w:p w:rsidR="00C01EA9" w:rsidRPr="00F669B1" w:rsidRDefault="00C01EA9" w:rsidP="009A0088">
      <w:pPr>
        <w:pStyle w:val="NoSpacing"/>
        <w:rPr>
          <w:color w:val="000000"/>
        </w:rPr>
      </w:pPr>
    </w:p>
    <w:p w:rsidR="00C6059A" w:rsidRPr="00F669B1" w:rsidRDefault="00C6059A" w:rsidP="009A0088">
      <w:pPr>
        <w:pStyle w:val="NoSpacing"/>
        <w:rPr>
          <w:color w:val="8D1829"/>
        </w:rPr>
      </w:pPr>
      <w:r w:rsidRPr="00F669B1">
        <w:rPr>
          <w:color w:val="8D1829"/>
        </w:rPr>
        <w:t>Types of Payments Reported</w:t>
      </w:r>
    </w:p>
    <w:p w:rsidR="00C6059A" w:rsidRPr="00F669B1" w:rsidRDefault="00C6059A" w:rsidP="009A0088">
      <w:pPr>
        <w:pStyle w:val="NoSpacing"/>
        <w:rPr>
          <w:color w:val="000000"/>
        </w:rPr>
      </w:pPr>
      <w:r w:rsidRPr="00F669B1">
        <w:rPr>
          <w:color w:val="000000"/>
        </w:rPr>
        <w:t>Payment or transfer of value is defined broadly with a low</w:t>
      </w:r>
      <w:r w:rsidR="00010419" w:rsidRPr="00F669B1">
        <w:rPr>
          <w:color w:val="000000"/>
        </w:rPr>
        <w:t xml:space="preserve"> </w:t>
      </w:r>
      <w:r w:rsidRPr="00F669B1">
        <w:rPr>
          <w:color w:val="000000"/>
        </w:rPr>
        <w:t>threshold of $10, and thus will include a vast array of funds</w:t>
      </w:r>
    </w:p>
    <w:p w:rsidR="00F669B1" w:rsidRDefault="00C6059A" w:rsidP="009A0088">
      <w:pPr>
        <w:pStyle w:val="NoSpacing"/>
        <w:rPr>
          <w:color w:val="000000"/>
        </w:rPr>
      </w:pPr>
      <w:r w:rsidRPr="00F669B1">
        <w:rPr>
          <w:color w:val="000000"/>
        </w:rPr>
        <w:lastRenderedPageBreak/>
        <w:t>transferred from covered recipients. However, reporting only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applies to payment from entities that manufacture at least</w:t>
      </w:r>
      <w:r w:rsidR="00F669B1">
        <w:rPr>
          <w:color w:val="000000"/>
        </w:rPr>
        <w:t xml:space="preserve"> </w:t>
      </w:r>
      <w:r w:rsidRPr="00F669B1">
        <w:rPr>
          <w:color w:val="000000"/>
        </w:rPr>
        <w:t>one covered product that includes any drug, device, biological,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or medical supply covered under Medicare, Medicaid,</w:t>
      </w:r>
      <w:r w:rsidR="00F669B1">
        <w:rPr>
          <w:color w:val="000000"/>
        </w:rPr>
        <w:t xml:space="preserve"> </w:t>
      </w:r>
      <w:r w:rsidRPr="00F669B1">
        <w:rPr>
          <w:color w:val="000000"/>
        </w:rPr>
        <w:t>or the Children’s Health Insurance Program.7</w:t>
      </w:r>
      <w:r w:rsidR="003316AD" w:rsidRPr="00F669B1">
        <w:rPr>
          <w:color w:val="000000"/>
        </w:rPr>
        <w:t xml:space="preserve"> </w:t>
      </w:r>
    </w:p>
    <w:p w:rsidR="00F669B1" w:rsidRDefault="00F669B1" w:rsidP="009A0088">
      <w:pPr>
        <w:pStyle w:val="NoSpacing"/>
        <w:rPr>
          <w:color w:val="000000"/>
        </w:rPr>
      </w:pPr>
    </w:p>
    <w:p w:rsidR="00F669B1" w:rsidRDefault="00C6059A" w:rsidP="009A0088">
      <w:pPr>
        <w:pStyle w:val="NoSpacing"/>
        <w:rPr>
          <w:color w:val="000000"/>
        </w:rPr>
      </w:pPr>
      <w:r w:rsidRPr="00F669B1">
        <w:rPr>
          <w:color w:val="000000"/>
        </w:rPr>
        <w:t>In addition to payments made directly from manufacturers,</w:t>
      </w:r>
      <w:r w:rsidR="00010419" w:rsidRPr="00F669B1">
        <w:rPr>
          <w:color w:val="000000"/>
        </w:rPr>
        <w:t xml:space="preserve"> </w:t>
      </w:r>
      <w:r w:rsidRPr="00F669B1">
        <w:rPr>
          <w:color w:val="000000"/>
        </w:rPr>
        <w:t>indirect payments or transfers of value must be reported.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These indirect payments are defined as payments or transfers</w:t>
      </w:r>
      <w:r w:rsidR="00010419" w:rsidRPr="00F669B1">
        <w:rPr>
          <w:color w:val="000000"/>
        </w:rPr>
        <w:t xml:space="preserve"> </w:t>
      </w:r>
      <w:r w:rsidRPr="00F669B1">
        <w:rPr>
          <w:color w:val="000000"/>
        </w:rPr>
        <w:t>in which the manufacturer “requires, instructs, directs, or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otherwise causes the third party” to pay or transfer value to</w:t>
      </w:r>
      <w:r w:rsidR="00010419" w:rsidRPr="00F669B1">
        <w:rPr>
          <w:color w:val="000000"/>
        </w:rPr>
        <w:t xml:space="preserve"> </w:t>
      </w:r>
      <w:r w:rsidRPr="00F669B1">
        <w:rPr>
          <w:color w:val="000000"/>
        </w:rPr>
        <w:t>a covered recipient. There is no knowledge requirement that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triggers reporting of these third-party payments. If a manufacturer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is not aware of the identity of the covered recipient,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a payment made by a third party will be imputed back to the</w:t>
      </w:r>
      <w:r w:rsidR="003316AD" w:rsidRPr="00F669B1">
        <w:rPr>
          <w:color w:val="000000"/>
        </w:rPr>
        <w:t xml:space="preserve"> </w:t>
      </w:r>
      <w:r w:rsidR="00010419" w:rsidRPr="00F669B1">
        <w:rPr>
          <w:color w:val="000000"/>
        </w:rPr>
        <w:t xml:space="preserve">manufacturer </w:t>
      </w:r>
      <w:r w:rsidRPr="00F669B1">
        <w:rPr>
          <w:color w:val="000000"/>
        </w:rPr>
        <w:t>and must be reported.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Food and beverage values of $10 or more must be disclosed</w:t>
      </w:r>
      <w:r w:rsidR="00010419" w:rsidRPr="00F669B1">
        <w:rPr>
          <w:color w:val="000000"/>
        </w:rPr>
        <w:t xml:space="preserve"> </w:t>
      </w:r>
      <w:r w:rsidRPr="00F669B1">
        <w:rPr>
          <w:color w:val="000000"/>
        </w:rPr>
        <w:t>as well as values of less than $10 when the aggregate annual</w:t>
      </w:r>
      <w:r w:rsidR="00010419" w:rsidRPr="00F669B1">
        <w:rPr>
          <w:color w:val="000000"/>
        </w:rPr>
        <w:t xml:space="preserve"> </w:t>
      </w:r>
      <w:r w:rsidRPr="00F669B1">
        <w:rPr>
          <w:color w:val="000000"/>
        </w:rPr>
        <w:t>amount transferred to the covered recipient exceeds $100.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In reporting food and beverage values, manufacturers must</w:t>
      </w:r>
      <w:r w:rsidR="00010419" w:rsidRPr="00F669B1">
        <w:rPr>
          <w:color w:val="000000"/>
        </w:rPr>
        <w:t xml:space="preserve"> </w:t>
      </w:r>
      <w:r w:rsidRPr="00F669B1">
        <w:rPr>
          <w:color w:val="000000"/>
        </w:rPr>
        <w:t>determine and report the value per person by dividing the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entire cost of food and beverage by the number of individuals</w:t>
      </w:r>
      <w:r w:rsidR="00010419" w:rsidRPr="00F669B1">
        <w:rPr>
          <w:color w:val="000000"/>
        </w:rPr>
        <w:t xml:space="preserve"> </w:t>
      </w:r>
      <w:r w:rsidRPr="00F669B1">
        <w:rPr>
          <w:color w:val="000000"/>
        </w:rPr>
        <w:t>who partake in a meal (including individuals who are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non-covered recipients). However, meals, snacks, soft drinks,</w:t>
      </w:r>
      <w:r w:rsidR="00010419" w:rsidRPr="00F669B1">
        <w:rPr>
          <w:color w:val="000000"/>
        </w:rPr>
        <w:t xml:space="preserve"> </w:t>
      </w:r>
      <w:r w:rsidRPr="00F669B1">
        <w:rPr>
          <w:color w:val="000000"/>
        </w:rPr>
        <w:t>or coffee that a manufacturer provides and are generally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available to all participants at a large conference or similar</w:t>
      </w:r>
      <w:r w:rsidR="00010419" w:rsidRPr="00F669B1">
        <w:rPr>
          <w:color w:val="000000"/>
        </w:rPr>
        <w:t xml:space="preserve"> </w:t>
      </w:r>
      <w:r w:rsidRPr="00F669B1">
        <w:rPr>
          <w:color w:val="000000"/>
        </w:rPr>
        <w:t>events need not be reported.8</w:t>
      </w:r>
    </w:p>
    <w:p w:rsidR="003316AD" w:rsidRPr="00F669B1" w:rsidRDefault="003316AD" w:rsidP="009A0088">
      <w:pPr>
        <w:pStyle w:val="NoSpacing"/>
        <w:rPr>
          <w:color w:val="000000"/>
        </w:rPr>
      </w:pPr>
      <w:r w:rsidRPr="00F669B1">
        <w:rPr>
          <w:color w:val="000000"/>
        </w:rPr>
        <w:t xml:space="preserve">  </w:t>
      </w:r>
    </w:p>
    <w:p w:rsidR="00C6059A" w:rsidRPr="00F669B1" w:rsidRDefault="00C6059A" w:rsidP="009A0088">
      <w:pPr>
        <w:pStyle w:val="NoSpacing"/>
        <w:rPr>
          <w:color w:val="000000"/>
        </w:rPr>
      </w:pPr>
      <w:r w:rsidRPr="00F669B1">
        <w:rPr>
          <w:color w:val="000000"/>
        </w:rPr>
        <w:t>The breadth of the Sunshine Act is exemplified by the inclusion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of “research” as a category of reportable payments. The</w:t>
      </w:r>
      <w:r w:rsidR="00F669B1">
        <w:rPr>
          <w:color w:val="000000"/>
        </w:rPr>
        <w:t xml:space="preserve"> </w:t>
      </w:r>
      <w:r w:rsidRPr="00F669B1">
        <w:rPr>
          <w:color w:val="000000"/>
        </w:rPr>
        <w:t>regulations require disclosure of all transfers of value for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research, from basic and applied research through product</w:t>
      </w:r>
      <w:r w:rsidR="00F669B1">
        <w:rPr>
          <w:color w:val="000000"/>
        </w:rPr>
        <w:t xml:space="preserve"> </w:t>
      </w:r>
      <w:r w:rsidRPr="00F669B1">
        <w:rPr>
          <w:color w:val="000000"/>
        </w:rPr>
        <w:t>development (or, in other terms, preclinical through Phase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IV research).9 Research-related payments are reportable</w:t>
      </w:r>
      <w:r w:rsidR="00F669B1">
        <w:rPr>
          <w:color w:val="000000"/>
        </w:rPr>
        <w:t xml:space="preserve"> </w:t>
      </w:r>
      <w:r w:rsidRPr="00F669B1">
        <w:rPr>
          <w:color w:val="000000"/>
        </w:rPr>
        <w:t>whether made directly or indirectly to a covered recipient,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and the research only needs to be subject to a writt</w:t>
      </w:r>
      <w:r w:rsidR="00010419" w:rsidRPr="00F669B1">
        <w:rPr>
          <w:color w:val="000000"/>
        </w:rPr>
        <w:t xml:space="preserve">en </w:t>
      </w:r>
      <w:r w:rsidRPr="00F669B1">
        <w:rPr>
          <w:color w:val="000000"/>
        </w:rPr>
        <w:t>agreement</w:t>
      </w:r>
      <w:r w:rsidR="00010419" w:rsidRPr="00F669B1">
        <w:rPr>
          <w:color w:val="000000"/>
        </w:rPr>
        <w:t xml:space="preserve"> </w:t>
      </w:r>
      <w:r w:rsidRPr="00F669B1">
        <w:rPr>
          <w:color w:val="000000"/>
        </w:rPr>
        <w:t>or contract or a research protocol. Of note, the Open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Payments website will treat research payments differently</w:t>
      </w:r>
      <w:r w:rsidR="00F669B1">
        <w:rPr>
          <w:color w:val="000000"/>
        </w:rPr>
        <w:t xml:space="preserve"> </w:t>
      </w:r>
      <w:r w:rsidRPr="00F669B1">
        <w:rPr>
          <w:color w:val="000000"/>
        </w:rPr>
        <w:t>by listing them separately on the website, and by including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additional information such as the name of the research</w:t>
      </w:r>
      <w:r w:rsidR="00010419" w:rsidRPr="00F669B1">
        <w:rPr>
          <w:color w:val="000000"/>
        </w:rPr>
        <w:t xml:space="preserve"> </w:t>
      </w:r>
      <w:r w:rsidRPr="00F669B1">
        <w:rPr>
          <w:color w:val="000000"/>
        </w:rPr>
        <w:t>study, the covered products subject to the study, and at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the manufacturer’s</w:t>
      </w:r>
      <w:r w:rsidR="00010419" w:rsidRPr="00F669B1">
        <w:rPr>
          <w:color w:val="000000"/>
        </w:rPr>
        <w:t xml:space="preserve"> option, the ClinicalTrials.gov </w:t>
      </w:r>
      <w:r w:rsidRPr="00F669B1">
        <w:rPr>
          <w:color w:val="000000"/>
        </w:rPr>
        <w:t>identifier.</w:t>
      </w:r>
      <w:r w:rsidR="00010419" w:rsidRPr="00F669B1">
        <w:rPr>
          <w:color w:val="000000"/>
        </w:rPr>
        <w:t xml:space="preserve">  </w:t>
      </w:r>
      <w:r w:rsidRPr="00F669B1">
        <w:rPr>
          <w:color w:val="000000"/>
        </w:rPr>
        <w:t>These measures are taken to address concerns regarding the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appearance of substantial payments to investigators who are</w:t>
      </w:r>
      <w:r w:rsidR="00F669B1">
        <w:rPr>
          <w:color w:val="000000"/>
        </w:rPr>
        <w:t xml:space="preserve"> </w:t>
      </w:r>
      <w:r w:rsidRPr="00F669B1">
        <w:rPr>
          <w:color w:val="000000"/>
        </w:rPr>
        <w:t>performing sponsored research and to mitigate confusion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that such research payments are akin to other reportable</w:t>
      </w:r>
      <w:r w:rsidR="00F669B1">
        <w:rPr>
          <w:color w:val="000000"/>
        </w:rPr>
        <w:t xml:space="preserve"> </w:t>
      </w:r>
      <w:r w:rsidRPr="00F669B1">
        <w:rPr>
          <w:color w:val="000000"/>
        </w:rPr>
        <w:t>payments on the Open Payments website.</w:t>
      </w:r>
      <w:r w:rsidR="00010419" w:rsidRPr="00F669B1">
        <w:rPr>
          <w:color w:val="000000"/>
        </w:rPr>
        <w:t xml:space="preserve">  </w:t>
      </w:r>
      <w:r w:rsidRPr="00F669B1">
        <w:rPr>
          <w:color w:val="000000"/>
        </w:rPr>
        <w:t>For sponsored research agreements, the entire sum of research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support will be attributed as a payment to an individual</w:t>
      </w:r>
      <w:r w:rsidR="00010419" w:rsidRPr="00F669B1">
        <w:rPr>
          <w:color w:val="000000"/>
        </w:rPr>
        <w:t xml:space="preserve"> </w:t>
      </w:r>
      <w:r w:rsidRPr="00F669B1">
        <w:rPr>
          <w:color w:val="000000"/>
        </w:rPr>
        <w:t>physician who is the principal investigator, even though all or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most of the money will be used to fund the research overhead,</w:t>
      </w:r>
      <w:r w:rsidR="00010419" w:rsidRPr="00F669B1">
        <w:rPr>
          <w:color w:val="000000"/>
        </w:rPr>
        <w:t xml:space="preserve"> </w:t>
      </w:r>
      <w:r w:rsidRPr="00F669B1">
        <w:rPr>
          <w:color w:val="000000"/>
        </w:rPr>
        <w:t>salaries for research staff, subcontracts to third parties, institutional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review board fees, etc.10 Many times, the researcher</w:t>
      </w:r>
      <w:r w:rsidR="00010419" w:rsidRPr="00F669B1">
        <w:rPr>
          <w:color w:val="000000"/>
        </w:rPr>
        <w:t xml:space="preserve"> </w:t>
      </w:r>
      <w:r w:rsidRPr="00F669B1">
        <w:rPr>
          <w:color w:val="000000"/>
        </w:rPr>
        <w:t>listed as receiving substantial support from a manufacturer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will, in fact, receive no salary support or increase for such</w:t>
      </w:r>
      <w:r w:rsidR="00010419" w:rsidRPr="00F669B1">
        <w:rPr>
          <w:color w:val="000000"/>
        </w:rPr>
        <w:t xml:space="preserve"> </w:t>
      </w:r>
      <w:r w:rsidRPr="00F669B1">
        <w:rPr>
          <w:color w:val="000000"/>
        </w:rPr>
        <w:t>arrangements.11 The regulations contain a notable provision to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offer market protection of certain research that is in development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but has not yet reached regulatory approval: disclosure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of such research payments can be delayed until the earlier of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four years from the date of transfer or U.S. Food and Drug</w:t>
      </w:r>
      <w:r w:rsidR="00010419" w:rsidRPr="00F669B1">
        <w:rPr>
          <w:color w:val="000000"/>
        </w:rPr>
        <w:t xml:space="preserve"> </w:t>
      </w:r>
      <w:r w:rsidRPr="00F669B1">
        <w:rPr>
          <w:color w:val="000000"/>
        </w:rPr>
        <w:t>Administration (FDA) approval of the product to protect the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companies’ proprietary interests.</w:t>
      </w:r>
    </w:p>
    <w:p w:rsidR="00C01EA9" w:rsidRPr="00F669B1" w:rsidRDefault="00C01EA9" w:rsidP="009A0088">
      <w:pPr>
        <w:pStyle w:val="NoSpacing"/>
        <w:rPr>
          <w:color w:val="000000"/>
        </w:rPr>
      </w:pPr>
    </w:p>
    <w:p w:rsidR="00C6059A" w:rsidRPr="00F669B1" w:rsidRDefault="00C6059A" w:rsidP="009A0088">
      <w:pPr>
        <w:pStyle w:val="NoSpacing"/>
        <w:rPr>
          <w:color w:val="8D1829"/>
        </w:rPr>
      </w:pPr>
      <w:r w:rsidRPr="00F669B1">
        <w:rPr>
          <w:color w:val="8D1829"/>
        </w:rPr>
        <w:t>Definition of Manufacturer</w:t>
      </w:r>
    </w:p>
    <w:p w:rsidR="00567329" w:rsidRPr="00F669B1" w:rsidRDefault="00C6059A" w:rsidP="009A0088">
      <w:pPr>
        <w:pStyle w:val="NoSpacing"/>
        <w:rPr>
          <w:color w:val="000000"/>
        </w:rPr>
      </w:pPr>
      <w:r w:rsidRPr="00F669B1">
        <w:rPr>
          <w:color w:val="000000"/>
        </w:rPr>
        <w:t>Under the Act, all pharmaceutical and device manufacturers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and GPOs are required to register with CMS within 90 days</w:t>
      </w:r>
      <w:r w:rsidR="00F669B1">
        <w:rPr>
          <w:color w:val="000000"/>
        </w:rPr>
        <w:t xml:space="preserve"> </w:t>
      </w:r>
      <w:r w:rsidRPr="00F669B1">
        <w:rPr>
          <w:color w:val="000000"/>
        </w:rPr>
        <w:t>of the end of the calendar year in which payments are to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be reported.12 There are two categories of manufacturers</w:t>
      </w:r>
      <w:r w:rsidR="00010419" w:rsidRPr="00F669B1">
        <w:rPr>
          <w:color w:val="000000"/>
        </w:rPr>
        <w:t xml:space="preserve"> </w:t>
      </w:r>
      <w:r w:rsidRPr="00F669B1">
        <w:rPr>
          <w:color w:val="000000"/>
        </w:rPr>
        <w:t>as defined by the regulations. The first category includes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entities engaged in the production, preparation, propagation,</w:t>
      </w:r>
      <w:r w:rsidR="00F669B1">
        <w:rPr>
          <w:color w:val="000000"/>
        </w:rPr>
        <w:t xml:space="preserve"> </w:t>
      </w:r>
      <w:r w:rsidRPr="00F669B1">
        <w:rPr>
          <w:color w:val="000000"/>
        </w:rPr>
        <w:t>compounding, or conversion of a covered product.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It does not include distributors or wholesalers that do not</w:t>
      </w:r>
      <w:r w:rsidR="00010419" w:rsidRPr="00F669B1">
        <w:rPr>
          <w:color w:val="000000"/>
        </w:rPr>
        <w:t xml:space="preserve"> </w:t>
      </w:r>
      <w:r w:rsidRPr="00F669B1">
        <w:rPr>
          <w:color w:val="000000"/>
        </w:rPr>
        <w:t>hold title to any covered product or entities that produce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covered product solely for use by or within the entity or by</w:t>
      </w:r>
      <w:r w:rsidR="00010419" w:rsidRPr="00F669B1">
        <w:rPr>
          <w:color w:val="000000"/>
        </w:rPr>
        <w:t xml:space="preserve"> </w:t>
      </w:r>
      <w:r w:rsidRPr="00F669B1">
        <w:rPr>
          <w:color w:val="000000"/>
        </w:rPr>
        <w:t>the entity’s own patients. Manufacturers that do not produce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a covered product or do so only under a written agreement</w:t>
      </w:r>
      <w:r w:rsidR="00010419" w:rsidRPr="00F669B1">
        <w:rPr>
          <w:color w:val="000000"/>
        </w:rPr>
        <w:t xml:space="preserve"> </w:t>
      </w:r>
      <w:r w:rsidRPr="00F669B1">
        <w:rPr>
          <w:color w:val="000000"/>
        </w:rPr>
        <w:t>for another entity and do not hold FDA approval, license,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or clearance are only required to report payments related to</w:t>
      </w:r>
      <w:r w:rsidR="00010419" w:rsidRPr="00F669B1">
        <w:rPr>
          <w:color w:val="000000"/>
        </w:rPr>
        <w:t xml:space="preserve"> </w:t>
      </w:r>
      <w:r w:rsidRPr="00F669B1">
        <w:rPr>
          <w:color w:val="000000"/>
        </w:rPr>
        <w:t>covered products. In addition, manufacturers whose total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gross revenues from covered products constitute less than</w:t>
      </w:r>
      <w:r w:rsidR="00010419" w:rsidRPr="00F669B1">
        <w:rPr>
          <w:color w:val="000000"/>
        </w:rPr>
        <w:t xml:space="preserve"> </w:t>
      </w:r>
      <w:r w:rsidRPr="00F669B1">
        <w:rPr>
          <w:color w:val="000000"/>
        </w:rPr>
        <w:t>10% of its total gross revenue are not required to report</w:t>
      </w:r>
      <w:r w:rsidR="003316AD" w:rsidRPr="00F669B1">
        <w:rPr>
          <w:color w:val="000000"/>
        </w:rPr>
        <w:t xml:space="preserve"> </w:t>
      </w:r>
      <w:r w:rsidRPr="00F669B1">
        <w:rPr>
          <w:color w:val="000000"/>
        </w:rPr>
        <w:t>payments that are related to covered products</w:t>
      </w:r>
      <w:r w:rsidR="00567329" w:rsidRPr="00F669B1">
        <w:rPr>
          <w:color w:val="000000"/>
        </w:rPr>
        <w:t>. …</w:t>
      </w:r>
    </w:p>
    <w:p w:rsidR="00567329" w:rsidRPr="00F669B1" w:rsidRDefault="00567329" w:rsidP="009A0088">
      <w:pPr>
        <w:pStyle w:val="NoSpacing"/>
        <w:rPr>
          <w:strike/>
          <w:color w:val="000000"/>
        </w:rPr>
      </w:pPr>
    </w:p>
    <w:p w:rsidR="00C6059A" w:rsidRPr="00F669B1" w:rsidRDefault="00C6059A" w:rsidP="009A0088">
      <w:pPr>
        <w:pStyle w:val="NoSpacing"/>
        <w:rPr>
          <w:color w:val="8D1829"/>
        </w:rPr>
      </w:pPr>
      <w:r w:rsidRPr="00F669B1">
        <w:rPr>
          <w:color w:val="8D1829"/>
        </w:rPr>
        <w:lastRenderedPageBreak/>
        <w:t>Appeals Procedure</w:t>
      </w:r>
    </w:p>
    <w:p w:rsidR="00164C09" w:rsidRPr="00F669B1" w:rsidRDefault="00C6059A" w:rsidP="00567329">
      <w:pPr>
        <w:pStyle w:val="NoSpacing"/>
        <w:rPr>
          <w:color w:val="000000"/>
        </w:rPr>
      </w:pPr>
      <w:r w:rsidRPr="00F669B1">
        <w:rPr>
          <w:color w:val="000000"/>
        </w:rPr>
        <w:t>Once manufacturers or GPOs report payments, a review</w:t>
      </w:r>
      <w:r w:rsidR="0001741B" w:rsidRPr="00F669B1">
        <w:rPr>
          <w:color w:val="000000"/>
        </w:rPr>
        <w:t xml:space="preserve"> </w:t>
      </w:r>
      <w:r w:rsidRPr="00F669B1">
        <w:rPr>
          <w:color w:val="000000"/>
        </w:rPr>
        <w:t>and resolution period will begin at least 60 days before the</w:t>
      </w:r>
      <w:r w:rsidR="00F669B1">
        <w:rPr>
          <w:color w:val="000000"/>
        </w:rPr>
        <w:t xml:space="preserve"> </w:t>
      </w:r>
      <w:r w:rsidRPr="00F669B1">
        <w:rPr>
          <w:color w:val="000000"/>
        </w:rPr>
        <w:t>information is made public to allow for a two-phase review</w:t>
      </w:r>
      <w:r w:rsidR="0001741B" w:rsidRPr="00F669B1">
        <w:rPr>
          <w:color w:val="000000"/>
        </w:rPr>
        <w:t xml:space="preserve"> </w:t>
      </w:r>
      <w:r w:rsidRPr="00F669B1">
        <w:rPr>
          <w:color w:val="000000"/>
        </w:rPr>
        <w:t>and dispute resolution process to occur. Covered recipients</w:t>
      </w:r>
      <w:r w:rsidR="0001741B" w:rsidRPr="00F669B1">
        <w:rPr>
          <w:color w:val="000000"/>
        </w:rPr>
        <w:t xml:space="preserve"> </w:t>
      </w:r>
      <w:r w:rsidRPr="00F669B1">
        <w:rPr>
          <w:color w:val="000000"/>
        </w:rPr>
        <w:t>may register with CMS to receive notification regarding the</w:t>
      </w:r>
      <w:r w:rsidR="0001741B" w:rsidRPr="00F669B1">
        <w:rPr>
          <w:color w:val="000000"/>
        </w:rPr>
        <w:t xml:space="preserve"> </w:t>
      </w:r>
      <w:r w:rsidRPr="00F669B1">
        <w:rPr>
          <w:color w:val="000000"/>
        </w:rPr>
        <w:t>review process and are otherwise notified using an online</w:t>
      </w:r>
      <w:r w:rsidR="0001741B" w:rsidRPr="00F669B1">
        <w:rPr>
          <w:color w:val="000000"/>
        </w:rPr>
        <w:t xml:space="preserve"> </w:t>
      </w:r>
      <w:r w:rsidRPr="00F669B1">
        <w:rPr>
          <w:color w:val="000000"/>
        </w:rPr>
        <w:t xml:space="preserve">posting and </w:t>
      </w:r>
      <w:r w:rsidR="0001741B" w:rsidRPr="00F669B1">
        <w:rPr>
          <w:color w:val="000000"/>
        </w:rPr>
        <w:t xml:space="preserve"> </w:t>
      </w:r>
      <w:r w:rsidR="00676297" w:rsidRPr="00F669B1">
        <w:rPr>
          <w:color w:val="000000"/>
        </w:rPr>
        <w:t>u</w:t>
      </w:r>
      <w:r w:rsidRPr="00F669B1">
        <w:rPr>
          <w:color w:val="000000"/>
        </w:rPr>
        <w:t>pon reviewing the information reported about the covered</w:t>
      </w:r>
      <w:r w:rsidR="0001741B" w:rsidRPr="00F669B1">
        <w:rPr>
          <w:color w:val="000000"/>
        </w:rPr>
        <w:t xml:space="preserve"> </w:t>
      </w:r>
      <w:r w:rsidRPr="00F669B1">
        <w:rPr>
          <w:color w:val="000000"/>
        </w:rPr>
        <w:t>recipient, if the information is correct, the covered recipient</w:t>
      </w:r>
      <w:r w:rsidR="0001741B" w:rsidRPr="00F669B1">
        <w:rPr>
          <w:color w:val="000000"/>
        </w:rPr>
        <w:t xml:space="preserve"> </w:t>
      </w:r>
      <w:r w:rsidRPr="00F669B1">
        <w:rPr>
          <w:color w:val="000000"/>
        </w:rPr>
        <w:t>may electronically certify the information reported is accurate.</w:t>
      </w:r>
      <w:r w:rsidR="0001741B" w:rsidRPr="00F669B1">
        <w:rPr>
          <w:color w:val="000000"/>
        </w:rPr>
        <w:t xml:space="preserve"> </w:t>
      </w:r>
      <w:r w:rsidRPr="00F669B1">
        <w:rPr>
          <w:color w:val="000000"/>
        </w:rPr>
        <w:t>If the covered recipient disagrees with information reported,</w:t>
      </w:r>
      <w:r w:rsidR="00676297" w:rsidRPr="00F669B1">
        <w:rPr>
          <w:color w:val="000000"/>
        </w:rPr>
        <w:t xml:space="preserve"> </w:t>
      </w:r>
      <w:r w:rsidRPr="00F669B1">
        <w:rPr>
          <w:color w:val="000000"/>
        </w:rPr>
        <w:t>the covered recipient may initiate a dispute any time once</w:t>
      </w:r>
      <w:r w:rsidR="0001741B" w:rsidRPr="00F669B1">
        <w:rPr>
          <w:color w:val="000000"/>
        </w:rPr>
        <w:t xml:space="preserve"> </w:t>
      </w:r>
      <w:r w:rsidRPr="00F669B1">
        <w:rPr>
          <w:color w:val="000000"/>
        </w:rPr>
        <w:t>the 45-day review process has begun and before the end of</w:t>
      </w:r>
      <w:r w:rsidR="00676297" w:rsidRPr="00F669B1">
        <w:rPr>
          <w:color w:val="000000"/>
        </w:rPr>
        <w:t xml:space="preserve"> </w:t>
      </w:r>
      <w:r w:rsidRPr="00F669B1">
        <w:rPr>
          <w:color w:val="000000"/>
        </w:rPr>
        <w:t xml:space="preserve">the calendar year. </w:t>
      </w:r>
      <w:r w:rsidR="00676297" w:rsidRPr="00F669B1">
        <w:rPr>
          <w:color w:val="000000"/>
        </w:rPr>
        <w:t xml:space="preserve"> </w:t>
      </w:r>
      <w:r w:rsidR="00567329" w:rsidRPr="00F669B1">
        <w:rPr>
          <w:color w:val="000000"/>
        </w:rPr>
        <w:t>...</w:t>
      </w:r>
    </w:p>
    <w:p w:rsidR="00567329" w:rsidRPr="00F669B1" w:rsidRDefault="00567329" w:rsidP="00567329">
      <w:pPr>
        <w:pStyle w:val="NoSpacing"/>
        <w:rPr>
          <w:color w:val="000000"/>
        </w:rPr>
      </w:pPr>
    </w:p>
    <w:p w:rsidR="00C6059A" w:rsidRPr="00F669B1" w:rsidRDefault="00C6059A" w:rsidP="009A0088">
      <w:pPr>
        <w:pStyle w:val="NoSpacing"/>
        <w:rPr>
          <w:color w:val="8D1829"/>
        </w:rPr>
      </w:pPr>
      <w:r w:rsidRPr="00F669B1">
        <w:rPr>
          <w:color w:val="8D1829"/>
        </w:rPr>
        <w:t>Penalties</w:t>
      </w:r>
    </w:p>
    <w:p w:rsidR="00C6059A" w:rsidRPr="00F669B1" w:rsidRDefault="00C6059A" w:rsidP="009A0088">
      <w:pPr>
        <w:pStyle w:val="NoSpacing"/>
        <w:rPr>
          <w:color w:val="000000"/>
        </w:rPr>
      </w:pPr>
      <w:r w:rsidRPr="00F669B1">
        <w:rPr>
          <w:color w:val="000000"/>
        </w:rPr>
        <w:t>A manufacturer’s or GPO’s failure to report is subject to a</w:t>
      </w:r>
      <w:r w:rsidR="0001741B" w:rsidRPr="00F669B1">
        <w:rPr>
          <w:color w:val="000000"/>
        </w:rPr>
        <w:t xml:space="preserve"> </w:t>
      </w:r>
      <w:r w:rsidRPr="00F669B1">
        <w:rPr>
          <w:color w:val="000000"/>
        </w:rPr>
        <w:t>civil monetary penalty (CMP) of not less than $1,000 but</w:t>
      </w:r>
      <w:r w:rsidR="0001741B" w:rsidRPr="00F669B1">
        <w:rPr>
          <w:color w:val="000000"/>
        </w:rPr>
        <w:t xml:space="preserve"> </w:t>
      </w:r>
      <w:r w:rsidRPr="00F669B1">
        <w:rPr>
          <w:color w:val="000000"/>
        </w:rPr>
        <w:t>not more than $10,000 for each payment or transfer of value</w:t>
      </w:r>
      <w:r w:rsidR="0001741B" w:rsidRPr="00F669B1">
        <w:rPr>
          <w:color w:val="000000"/>
        </w:rPr>
        <w:t xml:space="preserve"> </w:t>
      </w:r>
      <w:r w:rsidRPr="00F669B1">
        <w:rPr>
          <w:color w:val="000000"/>
        </w:rPr>
        <w:t>not reported in a timely, accurate, or complete manner as</w:t>
      </w:r>
      <w:r w:rsidR="0001741B" w:rsidRPr="00F669B1">
        <w:rPr>
          <w:color w:val="000000"/>
        </w:rPr>
        <w:t xml:space="preserve"> </w:t>
      </w:r>
      <w:r w:rsidRPr="00F669B1">
        <w:rPr>
          <w:color w:val="000000"/>
        </w:rPr>
        <w:t>required under the regulations. The aggregate CMP that can</w:t>
      </w:r>
      <w:r w:rsidR="0001741B" w:rsidRPr="00F669B1">
        <w:rPr>
          <w:color w:val="000000"/>
        </w:rPr>
        <w:t xml:space="preserve"> </w:t>
      </w:r>
      <w:r w:rsidRPr="00F669B1">
        <w:rPr>
          <w:color w:val="000000"/>
        </w:rPr>
        <w:t>be imposed on each manufacturer or GPO in a given annual</w:t>
      </w:r>
      <w:r w:rsidR="0001741B" w:rsidRPr="00F669B1">
        <w:rPr>
          <w:color w:val="000000"/>
        </w:rPr>
        <w:t xml:space="preserve"> </w:t>
      </w:r>
      <w:r w:rsidRPr="00F669B1">
        <w:rPr>
          <w:color w:val="000000"/>
        </w:rPr>
        <w:t xml:space="preserve">reporting period may not exceed $150,000. If a manufacturer or GPO </w:t>
      </w:r>
      <w:r w:rsidRPr="00F669B1">
        <w:rPr>
          <w:i/>
          <w:iCs/>
          <w:color w:val="000000"/>
        </w:rPr>
        <w:t xml:space="preserve">knowingly </w:t>
      </w:r>
      <w:r w:rsidRPr="00F669B1">
        <w:rPr>
          <w:color w:val="000000"/>
        </w:rPr>
        <w:t>fails to report, the maximum</w:t>
      </w:r>
      <w:r w:rsidR="0001741B" w:rsidRPr="00F669B1">
        <w:rPr>
          <w:color w:val="FFFFFF"/>
        </w:rPr>
        <w:t xml:space="preserve"> </w:t>
      </w:r>
      <w:r w:rsidRPr="00F669B1">
        <w:rPr>
          <w:color w:val="000000"/>
        </w:rPr>
        <w:t>annual CMP is $1 million.13</w:t>
      </w:r>
    </w:p>
    <w:p w:rsidR="00164C09" w:rsidRPr="00F669B1" w:rsidRDefault="00164C09" w:rsidP="009A0088">
      <w:pPr>
        <w:pStyle w:val="NoSpacing"/>
        <w:rPr>
          <w:color w:val="000000"/>
        </w:rPr>
      </w:pPr>
    </w:p>
    <w:p w:rsidR="00C6059A" w:rsidRPr="00F669B1" w:rsidRDefault="00C6059A" w:rsidP="009A0088">
      <w:pPr>
        <w:pStyle w:val="NoSpacing"/>
        <w:rPr>
          <w:color w:val="8D1829"/>
        </w:rPr>
      </w:pPr>
      <w:r w:rsidRPr="00F669B1">
        <w:rPr>
          <w:color w:val="8D1829"/>
        </w:rPr>
        <w:t>Considerations as Reporting Deadline and Open Payments Site</w:t>
      </w:r>
      <w:r w:rsidR="0001741B" w:rsidRPr="00F669B1">
        <w:rPr>
          <w:color w:val="8D1829"/>
        </w:rPr>
        <w:t xml:space="preserve"> </w:t>
      </w:r>
      <w:r w:rsidRPr="00F669B1">
        <w:rPr>
          <w:color w:val="8D1829"/>
        </w:rPr>
        <w:t>Launch Approach</w:t>
      </w:r>
    </w:p>
    <w:p w:rsidR="00567329" w:rsidRDefault="00C6059A" w:rsidP="009A0088">
      <w:pPr>
        <w:pStyle w:val="NoSpacing"/>
        <w:rPr>
          <w:color w:val="000000"/>
        </w:rPr>
      </w:pPr>
      <w:r w:rsidRPr="00F669B1">
        <w:rPr>
          <w:color w:val="000000"/>
        </w:rPr>
        <w:t>While hospitals and physicians do not have an affirmative</w:t>
      </w:r>
      <w:r w:rsidR="0001741B" w:rsidRPr="00F669B1">
        <w:rPr>
          <w:color w:val="000000"/>
        </w:rPr>
        <w:t xml:space="preserve"> </w:t>
      </w:r>
      <w:r w:rsidRPr="00F669B1">
        <w:rPr>
          <w:color w:val="000000"/>
        </w:rPr>
        <w:t>duty to report information under the Sunshine Act, one question</w:t>
      </w:r>
      <w:r w:rsidR="0001741B" w:rsidRPr="00F669B1">
        <w:rPr>
          <w:color w:val="000000"/>
        </w:rPr>
        <w:t xml:space="preserve"> </w:t>
      </w:r>
      <w:r w:rsidRPr="00F669B1">
        <w:rPr>
          <w:color w:val="000000"/>
        </w:rPr>
        <w:t>they face is how proactive to be in accessing information</w:t>
      </w:r>
      <w:r w:rsidR="0001741B" w:rsidRPr="00F669B1">
        <w:rPr>
          <w:color w:val="000000"/>
        </w:rPr>
        <w:t xml:space="preserve"> </w:t>
      </w:r>
      <w:r w:rsidRPr="00F669B1">
        <w:rPr>
          <w:color w:val="000000"/>
        </w:rPr>
        <w:t>reported by manufacturers and GPOs. By registering with CMS</w:t>
      </w:r>
      <w:r w:rsidR="0001741B" w:rsidRPr="00F669B1">
        <w:rPr>
          <w:color w:val="000000"/>
        </w:rPr>
        <w:t xml:space="preserve"> </w:t>
      </w:r>
      <w:r w:rsidRPr="00F669B1">
        <w:rPr>
          <w:color w:val="000000"/>
        </w:rPr>
        <w:t>to receive notice of all their applicable payments and transfers</w:t>
      </w:r>
      <w:r w:rsidR="0001741B" w:rsidRPr="00F669B1">
        <w:rPr>
          <w:color w:val="000000"/>
        </w:rPr>
        <w:t xml:space="preserve"> </w:t>
      </w:r>
      <w:r w:rsidRPr="00F669B1">
        <w:rPr>
          <w:color w:val="000000"/>
        </w:rPr>
        <w:t>and monitoring Open Payments regarding affiliated physicians,</w:t>
      </w:r>
      <w:r w:rsidR="00F669B1">
        <w:rPr>
          <w:color w:val="000000"/>
        </w:rPr>
        <w:t xml:space="preserve"> </w:t>
      </w:r>
      <w:r w:rsidRPr="00F669B1">
        <w:rPr>
          <w:color w:val="000000"/>
        </w:rPr>
        <w:t>hospitals can prepare for and anticipate inquiries about</w:t>
      </w:r>
      <w:r w:rsidR="0001741B" w:rsidRPr="00F669B1">
        <w:rPr>
          <w:color w:val="000000"/>
        </w:rPr>
        <w:t xml:space="preserve"> </w:t>
      </w:r>
      <w:r w:rsidRPr="00F669B1">
        <w:rPr>
          <w:color w:val="000000"/>
        </w:rPr>
        <w:t>reported payments to the hospital and its physicians and use the</w:t>
      </w:r>
      <w:r w:rsidR="00F669B1">
        <w:rPr>
          <w:color w:val="000000"/>
        </w:rPr>
        <w:t xml:space="preserve"> </w:t>
      </w:r>
      <w:r w:rsidRPr="00F669B1">
        <w:rPr>
          <w:color w:val="000000"/>
        </w:rPr>
        <w:t>information as a cross-check for other reporting obligations.</w:t>
      </w:r>
      <w:r w:rsidR="0001741B" w:rsidRPr="00F669B1">
        <w:rPr>
          <w:color w:val="000000"/>
        </w:rPr>
        <w:t xml:space="preserve"> </w:t>
      </w:r>
      <w:r w:rsidRPr="00F669B1">
        <w:rPr>
          <w:color w:val="000000"/>
        </w:rPr>
        <w:t>The new source of information will give institutions with</w:t>
      </w:r>
      <w:r w:rsidR="0001741B" w:rsidRPr="00F669B1">
        <w:rPr>
          <w:color w:val="000000"/>
        </w:rPr>
        <w:t xml:space="preserve"> </w:t>
      </w:r>
      <w:r w:rsidRPr="00F669B1">
        <w:rPr>
          <w:color w:val="000000"/>
        </w:rPr>
        <w:t>public health service funding a method to uncover possibly</w:t>
      </w:r>
      <w:r w:rsidR="0001741B" w:rsidRPr="00F669B1">
        <w:rPr>
          <w:color w:val="000000"/>
        </w:rPr>
        <w:t xml:space="preserve"> </w:t>
      </w:r>
      <w:r w:rsidRPr="00F669B1">
        <w:rPr>
          <w:color w:val="000000"/>
        </w:rPr>
        <w:t>omitted “significant financial interests” that are required to</w:t>
      </w:r>
      <w:r w:rsidR="0001741B" w:rsidRPr="00F669B1">
        <w:rPr>
          <w:color w:val="000000"/>
        </w:rPr>
        <w:t xml:space="preserve"> </w:t>
      </w:r>
      <w:r w:rsidRPr="00F669B1">
        <w:rPr>
          <w:color w:val="000000"/>
        </w:rPr>
        <w:t>be reported by certain researchers under the research conflict</w:t>
      </w:r>
      <w:r w:rsidR="00164C09" w:rsidRPr="00F669B1">
        <w:rPr>
          <w:color w:val="000000"/>
        </w:rPr>
        <w:t xml:space="preserve"> </w:t>
      </w:r>
      <w:r w:rsidRPr="00F669B1">
        <w:rPr>
          <w:color w:val="000000"/>
        </w:rPr>
        <w:t>of-</w:t>
      </w:r>
      <w:r w:rsidR="0001741B" w:rsidRPr="00F669B1">
        <w:rPr>
          <w:color w:val="000000"/>
        </w:rPr>
        <w:t xml:space="preserve"> </w:t>
      </w:r>
      <w:r w:rsidRPr="00F669B1">
        <w:rPr>
          <w:color w:val="000000"/>
        </w:rPr>
        <w:t xml:space="preserve">interest regulations.14 </w:t>
      </w:r>
      <w:r w:rsidR="00567329" w:rsidRPr="00F669B1">
        <w:rPr>
          <w:color w:val="000000"/>
        </w:rPr>
        <w:t>…</w:t>
      </w:r>
    </w:p>
    <w:p w:rsidR="00F669B1" w:rsidRPr="00F669B1" w:rsidRDefault="00F669B1" w:rsidP="009A0088">
      <w:pPr>
        <w:pStyle w:val="NoSpacing"/>
        <w:rPr>
          <w:color w:val="000000"/>
        </w:rPr>
      </w:pPr>
    </w:p>
    <w:p w:rsidR="00567329" w:rsidRDefault="00C6059A" w:rsidP="009A0088">
      <w:pPr>
        <w:pStyle w:val="NoSpacing"/>
        <w:rPr>
          <w:color w:val="000000"/>
        </w:rPr>
      </w:pPr>
      <w:r w:rsidRPr="00F669B1">
        <w:rPr>
          <w:color w:val="000000"/>
        </w:rPr>
        <w:t>From a public relations perspective, close cooperation</w:t>
      </w:r>
      <w:r w:rsidR="0001741B" w:rsidRPr="00F669B1">
        <w:rPr>
          <w:color w:val="000000"/>
        </w:rPr>
        <w:t xml:space="preserve"> and strategic planning with </w:t>
      </w:r>
      <w:r w:rsidRPr="00F669B1">
        <w:rPr>
          <w:color w:val="000000"/>
        </w:rPr>
        <w:t>communications offices in the</w:t>
      </w:r>
      <w:r w:rsidR="0001741B" w:rsidRPr="00F669B1">
        <w:rPr>
          <w:color w:val="000000"/>
        </w:rPr>
        <w:t xml:space="preserve"> </w:t>
      </w:r>
      <w:r w:rsidRPr="00F669B1">
        <w:rPr>
          <w:color w:val="000000"/>
        </w:rPr>
        <w:t>weeks leading up to the Open Payments launch are advisable</w:t>
      </w:r>
      <w:r w:rsidR="0001741B" w:rsidRPr="00F669B1">
        <w:rPr>
          <w:color w:val="000000"/>
        </w:rPr>
        <w:t xml:space="preserve"> </w:t>
      </w:r>
      <w:r w:rsidRPr="00F669B1">
        <w:rPr>
          <w:color w:val="000000"/>
        </w:rPr>
        <w:t>to prepare for responses to press and patient inquiries,</w:t>
      </w:r>
      <w:r w:rsidR="0001741B" w:rsidRPr="00F669B1">
        <w:rPr>
          <w:color w:val="000000"/>
        </w:rPr>
        <w:t xml:space="preserve"> </w:t>
      </w:r>
      <w:r w:rsidRPr="00F669B1">
        <w:rPr>
          <w:color w:val="000000"/>
        </w:rPr>
        <w:t>particularly when there is a large amount of funding or</w:t>
      </w:r>
      <w:r w:rsidR="00676297" w:rsidRPr="00F669B1">
        <w:rPr>
          <w:color w:val="000000"/>
        </w:rPr>
        <w:t xml:space="preserve"> compensation </w:t>
      </w:r>
      <w:r w:rsidRPr="00F669B1">
        <w:rPr>
          <w:color w:val="000000"/>
        </w:rPr>
        <w:t>reported or a prominent researcher involved.</w:t>
      </w:r>
      <w:r w:rsidR="0001741B" w:rsidRPr="00F669B1">
        <w:rPr>
          <w:color w:val="000000"/>
        </w:rPr>
        <w:t xml:space="preserve"> </w:t>
      </w:r>
      <w:r w:rsidRPr="00F669B1">
        <w:rPr>
          <w:color w:val="000000"/>
        </w:rPr>
        <w:t>In addition, hospitals privy to information prior to its</w:t>
      </w:r>
      <w:r w:rsidR="0001741B" w:rsidRPr="00F669B1">
        <w:rPr>
          <w:color w:val="000000"/>
        </w:rPr>
        <w:t xml:space="preserve"> </w:t>
      </w:r>
      <w:r w:rsidRPr="00F669B1">
        <w:rPr>
          <w:color w:val="000000"/>
        </w:rPr>
        <w:t>release on Open Payments will be prepared to respond to</w:t>
      </w:r>
      <w:r w:rsidR="0001741B" w:rsidRPr="00F669B1">
        <w:rPr>
          <w:color w:val="000000"/>
        </w:rPr>
        <w:t xml:space="preserve"> </w:t>
      </w:r>
      <w:r w:rsidRPr="00F669B1">
        <w:rPr>
          <w:color w:val="000000"/>
        </w:rPr>
        <w:t>requests for clarification about discrepancies of reported</w:t>
      </w:r>
      <w:r w:rsidR="0001741B" w:rsidRPr="00F669B1">
        <w:rPr>
          <w:color w:val="000000"/>
        </w:rPr>
        <w:t xml:space="preserve"> </w:t>
      </w:r>
      <w:r w:rsidRPr="00F669B1">
        <w:rPr>
          <w:color w:val="000000"/>
        </w:rPr>
        <w:t>payments across disclosure sources. For example, a physician</w:t>
      </w:r>
      <w:r w:rsidR="0001741B" w:rsidRPr="00F669B1">
        <w:rPr>
          <w:color w:val="000000"/>
        </w:rPr>
        <w:t xml:space="preserve"> </w:t>
      </w:r>
      <w:r w:rsidRPr="00F669B1">
        <w:rPr>
          <w:color w:val="000000"/>
        </w:rPr>
        <w:t>in Massachusetts could have one set of disclosures</w:t>
      </w:r>
      <w:r w:rsidR="0001741B" w:rsidRPr="00F669B1">
        <w:rPr>
          <w:color w:val="000000"/>
        </w:rPr>
        <w:t xml:space="preserve"> </w:t>
      </w:r>
      <w:r w:rsidRPr="00F669B1">
        <w:rPr>
          <w:color w:val="000000"/>
        </w:rPr>
        <w:t>listed on the Open Payments website, while only a portion</w:t>
      </w:r>
      <w:r w:rsidR="00164C09" w:rsidRPr="00F669B1">
        <w:rPr>
          <w:color w:val="000000"/>
        </w:rPr>
        <w:t xml:space="preserve"> </w:t>
      </w:r>
      <w:r w:rsidRPr="00F669B1">
        <w:rPr>
          <w:color w:val="000000"/>
        </w:rPr>
        <w:t>of those payments are reported on a state repository because</w:t>
      </w:r>
      <w:r w:rsidR="00164C09" w:rsidRPr="00F669B1">
        <w:rPr>
          <w:color w:val="000000"/>
        </w:rPr>
        <w:t xml:space="preserve"> </w:t>
      </w:r>
      <w:r w:rsidRPr="00F669B1">
        <w:rPr>
          <w:color w:val="000000"/>
        </w:rPr>
        <w:t>of conflicting inclusion criteria or date ranges. Meanwhile, a</w:t>
      </w:r>
      <w:r w:rsidR="00164C09" w:rsidRPr="00F669B1">
        <w:rPr>
          <w:color w:val="000000"/>
        </w:rPr>
        <w:t xml:space="preserve"> </w:t>
      </w:r>
      <w:r w:rsidRPr="00F669B1">
        <w:rPr>
          <w:color w:val="000000"/>
        </w:rPr>
        <w:t>journal publication by the same physician could list yet other</w:t>
      </w:r>
      <w:r w:rsidR="00164C09" w:rsidRPr="00F669B1">
        <w:rPr>
          <w:color w:val="000000"/>
        </w:rPr>
        <w:t xml:space="preserve"> </w:t>
      </w:r>
      <w:r w:rsidRPr="00F669B1">
        <w:rPr>
          <w:color w:val="000000"/>
        </w:rPr>
        <w:t>disclosures, such as expert witness compensation or equity</w:t>
      </w:r>
      <w:r w:rsidR="00164C09" w:rsidRPr="00F669B1">
        <w:rPr>
          <w:color w:val="000000"/>
        </w:rPr>
        <w:t xml:space="preserve"> </w:t>
      </w:r>
      <w:r w:rsidRPr="00F669B1">
        <w:rPr>
          <w:color w:val="000000"/>
        </w:rPr>
        <w:t>in a basic science start-up, that are not contained on state or</w:t>
      </w:r>
      <w:r w:rsidR="00164C09" w:rsidRPr="00F669B1">
        <w:rPr>
          <w:color w:val="000000"/>
        </w:rPr>
        <w:t xml:space="preserve"> </w:t>
      </w:r>
      <w:r w:rsidRPr="00F669B1">
        <w:rPr>
          <w:color w:val="000000"/>
        </w:rPr>
        <w:t>federal websites, or it could list substantially higher payment</w:t>
      </w:r>
      <w:r w:rsidR="00164C09" w:rsidRPr="00F669B1">
        <w:rPr>
          <w:color w:val="000000"/>
        </w:rPr>
        <w:t xml:space="preserve"> </w:t>
      </w:r>
      <w:r w:rsidRPr="00F669B1">
        <w:rPr>
          <w:color w:val="000000"/>
        </w:rPr>
        <w:t>amounts because of aggregation over two or three years.</w:t>
      </w:r>
      <w:r w:rsidR="00CD744D" w:rsidRPr="00F669B1">
        <w:rPr>
          <w:color w:val="000000"/>
        </w:rPr>
        <w:t xml:space="preserve"> </w:t>
      </w:r>
      <w:r w:rsidRPr="00F669B1">
        <w:rPr>
          <w:color w:val="000000"/>
        </w:rPr>
        <w:t xml:space="preserve">Finally, the food and beverage reporting </w:t>
      </w:r>
      <w:r w:rsidR="00164C09" w:rsidRPr="00F669B1">
        <w:rPr>
          <w:color w:val="000000"/>
        </w:rPr>
        <w:t xml:space="preserve">requirement </w:t>
      </w:r>
      <w:r w:rsidRPr="00F669B1">
        <w:rPr>
          <w:color w:val="000000"/>
        </w:rPr>
        <w:t>as created its own bevy of confusion and administrative</w:t>
      </w:r>
      <w:r w:rsidR="00164C09" w:rsidRPr="00F669B1">
        <w:rPr>
          <w:color w:val="000000"/>
        </w:rPr>
        <w:t xml:space="preserve"> </w:t>
      </w:r>
      <w:r w:rsidRPr="00F669B1">
        <w:rPr>
          <w:color w:val="000000"/>
        </w:rPr>
        <w:t>burdens. Substantial ambiguity remains regarding the</w:t>
      </w:r>
      <w:r w:rsidR="00164C09" w:rsidRPr="00F669B1">
        <w:rPr>
          <w:color w:val="000000"/>
        </w:rPr>
        <w:t xml:space="preserve"> </w:t>
      </w:r>
      <w:r w:rsidRPr="00F669B1">
        <w:rPr>
          <w:color w:val="000000"/>
        </w:rPr>
        <w:t>threshold of how many attendees it takes to constitute</w:t>
      </w:r>
      <w:r w:rsidR="00CD744D" w:rsidRPr="00F669B1">
        <w:rPr>
          <w:color w:val="000000"/>
        </w:rPr>
        <w:t xml:space="preserve"> </w:t>
      </w:r>
      <w:r w:rsidRPr="00F669B1">
        <w:rPr>
          <w:color w:val="000000"/>
        </w:rPr>
        <w:t>a “large conference” that does not require food-related</w:t>
      </w:r>
      <w:r w:rsidR="00164C09" w:rsidRPr="00F669B1">
        <w:rPr>
          <w:color w:val="000000"/>
        </w:rPr>
        <w:t xml:space="preserve"> </w:t>
      </w:r>
      <w:r w:rsidRPr="00F669B1">
        <w:rPr>
          <w:color w:val="000000"/>
        </w:rPr>
        <w:t>reporting for buffet meals, and confusion about when there</w:t>
      </w:r>
      <w:r w:rsidR="00CD744D" w:rsidRPr="00F669B1">
        <w:rPr>
          <w:color w:val="000000"/>
        </w:rPr>
        <w:t xml:space="preserve"> </w:t>
      </w:r>
      <w:r w:rsidRPr="00F669B1">
        <w:rPr>
          <w:color w:val="000000"/>
        </w:rPr>
        <w:t>are “identified” recipients, and to what extent manufacturers</w:t>
      </w:r>
      <w:r w:rsidR="00164C09" w:rsidRPr="00F669B1">
        <w:rPr>
          <w:color w:val="000000"/>
        </w:rPr>
        <w:t xml:space="preserve"> </w:t>
      </w:r>
      <w:r w:rsidRPr="00F669B1">
        <w:rPr>
          <w:color w:val="000000"/>
        </w:rPr>
        <w:t xml:space="preserve">can require hospitals to track names of such recipients. </w:t>
      </w:r>
      <w:r w:rsidR="00567329" w:rsidRPr="00F669B1">
        <w:rPr>
          <w:color w:val="000000"/>
        </w:rPr>
        <w:t>…</w:t>
      </w:r>
    </w:p>
    <w:p w:rsidR="00F669B1" w:rsidRPr="00F669B1" w:rsidRDefault="00F669B1" w:rsidP="009A0088">
      <w:pPr>
        <w:pStyle w:val="NoSpacing"/>
        <w:rPr>
          <w:color w:val="000000"/>
        </w:rPr>
      </w:pPr>
    </w:p>
    <w:p w:rsidR="00166013" w:rsidRPr="00F669B1" w:rsidRDefault="00C6059A" w:rsidP="009A0088">
      <w:pPr>
        <w:pStyle w:val="NoSpacing"/>
        <w:rPr>
          <w:i/>
          <w:iCs/>
          <w:color w:val="000000"/>
        </w:rPr>
      </w:pPr>
      <w:r w:rsidRPr="00F669B1">
        <w:rPr>
          <w:i/>
          <w:iCs/>
          <w:color w:val="000000"/>
        </w:rPr>
        <w:t>Katherine Kraschel is a health care associate at Foley &amp;</w:t>
      </w:r>
      <w:r w:rsidR="00164C09" w:rsidRPr="00F669B1">
        <w:rPr>
          <w:i/>
          <w:iCs/>
          <w:color w:val="000000"/>
        </w:rPr>
        <w:t xml:space="preserve"> </w:t>
      </w:r>
      <w:r w:rsidRPr="00F669B1">
        <w:rPr>
          <w:i/>
          <w:iCs/>
          <w:color w:val="000000"/>
        </w:rPr>
        <w:t>Lardner LLP and a Division of Medical Ethics fellow in</w:t>
      </w:r>
      <w:r w:rsidR="00166013" w:rsidRPr="00F669B1">
        <w:rPr>
          <w:i/>
          <w:iCs/>
          <w:color w:val="000000"/>
        </w:rPr>
        <w:t xml:space="preserve"> </w:t>
      </w:r>
      <w:r w:rsidRPr="00F669B1">
        <w:rPr>
          <w:i/>
          <w:iCs/>
          <w:color w:val="000000"/>
        </w:rPr>
        <w:t>the Department of Global Health and Social Medicine at</w:t>
      </w:r>
      <w:r w:rsidR="00164C09" w:rsidRPr="00F669B1">
        <w:rPr>
          <w:i/>
          <w:iCs/>
          <w:color w:val="000000"/>
        </w:rPr>
        <w:t xml:space="preserve"> </w:t>
      </w:r>
      <w:r w:rsidRPr="00F669B1">
        <w:rPr>
          <w:i/>
          <w:iCs/>
          <w:color w:val="000000"/>
        </w:rPr>
        <w:t>Harvard Medical School.</w:t>
      </w:r>
      <w:r w:rsidR="00164C09" w:rsidRPr="00F669B1">
        <w:rPr>
          <w:i/>
          <w:iCs/>
          <w:color w:val="000000"/>
        </w:rPr>
        <w:t xml:space="preserve"> </w:t>
      </w:r>
    </w:p>
    <w:p w:rsidR="00C6059A" w:rsidRPr="00F669B1" w:rsidRDefault="00C6059A" w:rsidP="009A0088">
      <w:pPr>
        <w:pStyle w:val="NoSpacing"/>
        <w:rPr>
          <w:i/>
          <w:iCs/>
          <w:color w:val="000000"/>
        </w:rPr>
      </w:pPr>
      <w:r w:rsidRPr="00F669B1">
        <w:rPr>
          <w:i/>
          <w:iCs/>
          <w:color w:val="000000"/>
        </w:rPr>
        <w:t>Brendan Abel is a project specialist in the Office for Interactions</w:t>
      </w:r>
      <w:r w:rsidR="00164C09" w:rsidRPr="00F669B1">
        <w:rPr>
          <w:i/>
          <w:iCs/>
          <w:color w:val="000000"/>
        </w:rPr>
        <w:t xml:space="preserve"> </w:t>
      </w:r>
      <w:r w:rsidRPr="00F669B1">
        <w:rPr>
          <w:i/>
          <w:iCs/>
          <w:color w:val="000000"/>
        </w:rPr>
        <w:t>with Industry at Partners HealthCare and a Division of</w:t>
      </w:r>
      <w:r w:rsidR="00164C09" w:rsidRPr="00F669B1">
        <w:rPr>
          <w:i/>
          <w:iCs/>
          <w:color w:val="000000"/>
        </w:rPr>
        <w:t xml:space="preserve"> </w:t>
      </w:r>
      <w:r w:rsidRPr="00F669B1">
        <w:rPr>
          <w:i/>
          <w:iCs/>
          <w:color w:val="000000"/>
        </w:rPr>
        <w:t>Medical Ethics fellow in the Department of Global Health</w:t>
      </w:r>
      <w:r w:rsidR="00164C09" w:rsidRPr="00F669B1">
        <w:rPr>
          <w:i/>
          <w:iCs/>
          <w:color w:val="000000"/>
        </w:rPr>
        <w:t xml:space="preserve"> </w:t>
      </w:r>
      <w:r w:rsidRPr="00F669B1">
        <w:rPr>
          <w:i/>
          <w:iCs/>
          <w:color w:val="000000"/>
        </w:rPr>
        <w:t>and Social Medicine at Harvard Medical School.</w:t>
      </w:r>
    </w:p>
    <w:p w:rsidR="00567329" w:rsidRPr="00F669B1" w:rsidRDefault="00567329" w:rsidP="009A0088">
      <w:pPr>
        <w:pStyle w:val="NoSpacing"/>
        <w:rPr>
          <w:i/>
          <w:iCs/>
          <w:color w:val="000000"/>
        </w:rPr>
      </w:pPr>
    </w:p>
    <w:p w:rsidR="00F669B1" w:rsidRDefault="00C6059A" w:rsidP="009A0088">
      <w:pPr>
        <w:pStyle w:val="NoSpacing"/>
        <w:rPr>
          <w:color w:val="000000"/>
        </w:rPr>
      </w:pPr>
      <w:r w:rsidRPr="00F669B1">
        <w:rPr>
          <w:color w:val="000000"/>
        </w:rPr>
        <w:lastRenderedPageBreak/>
        <w:t>1</w:t>
      </w:r>
      <w:r w:rsidR="00166013" w:rsidRPr="00F669B1">
        <w:rPr>
          <w:color w:val="000000"/>
        </w:rPr>
        <w:t>-</w:t>
      </w:r>
      <w:r w:rsidRPr="00F669B1">
        <w:rPr>
          <w:color w:val="000000"/>
        </w:rPr>
        <w:t xml:space="preserve">R. Steinbrook, </w:t>
      </w:r>
      <w:r w:rsidRPr="00F669B1">
        <w:rPr>
          <w:i/>
          <w:iCs/>
          <w:color w:val="000000"/>
        </w:rPr>
        <w:t>Online Disclosure of Physician-Industry Relationships,</w:t>
      </w:r>
      <w:r w:rsidR="00164C09" w:rsidRPr="00F669B1">
        <w:rPr>
          <w:i/>
          <w:iCs/>
          <w:color w:val="000000"/>
        </w:rPr>
        <w:t xml:space="preserve"> </w:t>
      </w:r>
      <w:r w:rsidRPr="00F669B1">
        <w:rPr>
          <w:color w:val="000000"/>
        </w:rPr>
        <w:t>360 New Eng. J. Med. 325, 325 (2009).</w:t>
      </w:r>
    </w:p>
    <w:p w:rsidR="00F669B1" w:rsidRDefault="00166013" w:rsidP="009A0088">
      <w:pPr>
        <w:pStyle w:val="NoSpacing"/>
        <w:rPr>
          <w:color w:val="000000"/>
        </w:rPr>
      </w:pPr>
      <w:r w:rsidRPr="00F669B1">
        <w:rPr>
          <w:color w:val="000000"/>
        </w:rPr>
        <w:t>2</w:t>
      </w:r>
      <w:r w:rsidR="00C6059A" w:rsidRPr="00F669B1">
        <w:rPr>
          <w:color w:val="000000"/>
        </w:rPr>
        <w:t xml:space="preserve"> </w:t>
      </w:r>
      <w:r w:rsidRPr="00F669B1">
        <w:rPr>
          <w:color w:val="000000"/>
        </w:rPr>
        <w:t>-</w:t>
      </w:r>
      <w:r w:rsidR="00C6059A" w:rsidRPr="00F669B1">
        <w:rPr>
          <w:color w:val="000000"/>
        </w:rPr>
        <w:t xml:space="preserve">American Med. Ass’n, State “Sunshine” Laws, </w:t>
      </w:r>
      <w:r w:rsidR="00C6059A" w:rsidRPr="00F669B1">
        <w:rPr>
          <w:i/>
          <w:iCs/>
          <w:color w:val="000000"/>
        </w:rPr>
        <w:t xml:space="preserve">available at </w:t>
      </w:r>
      <w:hyperlink r:id="rId9" w:history="1">
        <w:r w:rsidR="003A62A8" w:rsidRPr="003A62A8">
          <w:rPr>
            <w:rStyle w:val="Hyperlink"/>
          </w:rPr>
          <w:t>https://www.ama-assn.org/sites/default/files/media-browser/specialty%20group/w</w:t>
        </w:r>
        <w:r w:rsidR="003A62A8" w:rsidRPr="003A62A8">
          <w:rPr>
            <w:rStyle w:val="Hyperlink"/>
          </w:rPr>
          <w:t>a</w:t>
        </w:r>
        <w:r w:rsidR="003A62A8" w:rsidRPr="003A62A8">
          <w:rPr>
            <w:rStyle w:val="Hyperlink"/>
          </w:rPr>
          <w:t>shington/sunshine-act-brochure.pdf</w:t>
        </w:r>
      </w:hyperlink>
    </w:p>
    <w:p w:rsidR="00F669B1" w:rsidRDefault="00166013" w:rsidP="009A0088">
      <w:pPr>
        <w:pStyle w:val="NoSpacing"/>
        <w:rPr>
          <w:i/>
          <w:iCs/>
          <w:color w:val="000000"/>
        </w:rPr>
      </w:pPr>
      <w:r w:rsidRPr="00F669B1">
        <w:rPr>
          <w:i/>
          <w:iCs/>
          <w:color w:val="000000"/>
        </w:rPr>
        <w:t xml:space="preserve"> </w:t>
      </w:r>
      <w:r w:rsidR="00C6059A" w:rsidRPr="00F669B1">
        <w:rPr>
          <w:color w:val="000000"/>
        </w:rPr>
        <w:t>3</w:t>
      </w:r>
      <w:r w:rsidRPr="00F669B1">
        <w:rPr>
          <w:color w:val="000000"/>
        </w:rPr>
        <w:t xml:space="preserve">- </w:t>
      </w:r>
      <w:r w:rsidR="00C6059A" w:rsidRPr="00F669B1">
        <w:rPr>
          <w:color w:val="000000"/>
        </w:rPr>
        <w:t xml:space="preserve">S. Agrawal, N. Brennan, and P. Budetti, </w:t>
      </w:r>
      <w:r w:rsidR="00C6059A" w:rsidRPr="00F669B1">
        <w:rPr>
          <w:i/>
          <w:iCs/>
          <w:color w:val="000000"/>
        </w:rPr>
        <w:t>The Sunshine Act—Effects on</w:t>
      </w:r>
      <w:r w:rsidR="00164C09" w:rsidRPr="00F669B1">
        <w:rPr>
          <w:i/>
          <w:iCs/>
          <w:color w:val="000000"/>
        </w:rPr>
        <w:t xml:space="preserve"> </w:t>
      </w:r>
      <w:r w:rsidR="00C6059A" w:rsidRPr="00F669B1">
        <w:rPr>
          <w:i/>
          <w:iCs/>
          <w:color w:val="000000"/>
        </w:rPr>
        <w:t>Physicians</w:t>
      </w:r>
      <w:r w:rsidR="00C6059A" w:rsidRPr="00F669B1">
        <w:rPr>
          <w:color w:val="000000"/>
        </w:rPr>
        <w:t>, 368 New Eng. J. Med. 2054, 2055 (2013).</w:t>
      </w:r>
      <w:r w:rsidRPr="00F669B1">
        <w:rPr>
          <w:i/>
          <w:iCs/>
          <w:color w:val="000000"/>
        </w:rPr>
        <w:t xml:space="preserve"> </w:t>
      </w:r>
    </w:p>
    <w:p w:rsidR="00F669B1" w:rsidRDefault="00C6059A" w:rsidP="009A0088">
      <w:pPr>
        <w:pStyle w:val="NoSpacing"/>
        <w:rPr>
          <w:color w:val="000000"/>
        </w:rPr>
      </w:pPr>
      <w:r w:rsidRPr="00F669B1">
        <w:rPr>
          <w:color w:val="000000"/>
        </w:rPr>
        <w:t>4</w:t>
      </w:r>
      <w:r w:rsidR="00166013" w:rsidRPr="00F669B1">
        <w:rPr>
          <w:color w:val="000000"/>
        </w:rPr>
        <w:t>-</w:t>
      </w:r>
      <w:r w:rsidRPr="00F669B1">
        <w:rPr>
          <w:color w:val="000000"/>
        </w:rPr>
        <w:t xml:space="preserve"> Campbell EG, Gruen RL, Mountford J, Miller LG, Cleary PD, Blumenthal</w:t>
      </w:r>
      <w:r w:rsidR="00164C09" w:rsidRPr="00F669B1">
        <w:rPr>
          <w:color w:val="000000"/>
        </w:rPr>
        <w:t xml:space="preserve"> </w:t>
      </w:r>
      <w:r w:rsidRPr="00F669B1">
        <w:rPr>
          <w:color w:val="000000"/>
        </w:rPr>
        <w:t xml:space="preserve">D., </w:t>
      </w:r>
      <w:r w:rsidRPr="00F669B1">
        <w:rPr>
          <w:i/>
          <w:iCs/>
          <w:color w:val="000000"/>
        </w:rPr>
        <w:t xml:space="preserve">A national survey of physician-industry relationships, </w:t>
      </w:r>
      <w:r w:rsidRPr="00F669B1">
        <w:rPr>
          <w:color w:val="000000"/>
        </w:rPr>
        <w:t>New</w:t>
      </w:r>
      <w:r w:rsidR="00164C09" w:rsidRPr="00F669B1">
        <w:rPr>
          <w:color w:val="000000"/>
        </w:rPr>
        <w:t xml:space="preserve"> </w:t>
      </w:r>
      <w:r w:rsidRPr="00F669B1">
        <w:rPr>
          <w:color w:val="000000"/>
        </w:rPr>
        <w:t>Eng. J. Med. 2007;356:1742-1750 (Of note, many of these “relationships”</w:t>
      </w:r>
      <w:r w:rsidR="00164C09" w:rsidRPr="00F669B1">
        <w:rPr>
          <w:color w:val="000000"/>
        </w:rPr>
        <w:t xml:space="preserve"> </w:t>
      </w:r>
      <w:r w:rsidRPr="00F669B1">
        <w:rPr>
          <w:color w:val="000000"/>
        </w:rPr>
        <w:t>would not be subject to disclosure under the Sunshine Act: many</w:t>
      </w:r>
      <w:r w:rsidR="00164C09" w:rsidRPr="00F669B1">
        <w:rPr>
          <w:color w:val="000000"/>
        </w:rPr>
        <w:t xml:space="preserve"> </w:t>
      </w:r>
      <w:r w:rsidRPr="00F669B1">
        <w:rPr>
          <w:color w:val="000000"/>
        </w:rPr>
        <w:t>relationships consisted of receiving food in the workplace that could be</w:t>
      </w:r>
      <w:r w:rsidR="00F669B1">
        <w:rPr>
          <w:i/>
          <w:iCs/>
          <w:color w:val="000000"/>
        </w:rPr>
        <w:t xml:space="preserve"> </w:t>
      </w:r>
      <w:r w:rsidRPr="00F669B1">
        <w:rPr>
          <w:color w:val="000000"/>
        </w:rPr>
        <w:t xml:space="preserve">under the </w:t>
      </w:r>
      <w:r w:rsidRPr="00F669B1">
        <w:rPr>
          <w:i/>
          <w:iCs/>
          <w:color w:val="000000"/>
        </w:rPr>
        <w:t xml:space="preserve">de minimis, </w:t>
      </w:r>
      <w:r w:rsidRPr="00F669B1">
        <w:rPr>
          <w:color w:val="000000"/>
        </w:rPr>
        <w:t>and many reported receiving drugs samples, which</w:t>
      </w:r>
      <w:r w:rsidR="00164C09" w:rsidRPr="00F669B1">
        <w:rPr>
          <w:color w:val="000000"/>
        </w:rPr>
        <w:t xml:space="preserve"> </w:t>
      </w:r>
      <w:r w:rsidRPr="00F669B1">
        <w:rPr>
          <w:color w:val="000000"/>
        </w:rPr>
        <w:t>is generally excluded in the law.).</w:t>
      </w:r>
      <w:r w:rsidR="00166013" w:rsidRPr="00F669B1">
        <w:rPr>
          <w:color w:val="000000"/>
        </w:rPr>
        <w:t xml:space="preserve"> </w:t>
      </w:r>
    </w:p>
    <w:p w:rsidR="00F669B1" w:rsidRDefault="00C6059A" w:rsidP="009A0088">
      <w:pPr>
        <w:pStyle w:val="NoSpacing"/>
        <w:rPr>
          <w:color w:val="000000"/>
        </w:rPr>
      </w:pPr>
      <w:r w:rsidRPr="00F669B1">
        <w:rPr>
          <w:color w:val="000000"/>
        </w:rPr>
        <w:t>5</w:t>
      </w:r>
      <w:r w:rsidR="00166013" w:rsidRPr="00F669B1">
        <w:rPr>
          <w:color w:val="000000"/>
        </w:rPr>
        <w:t>-</w:t>
      </w:r>
      <w:r w:rsidRPr="00F669B1">
        <w:rPr>
          <w:color w:val="000000"/>
        </w:rPr>
        <w:t xml:space="preserve"> 76 Fed. Reg. 78742-78773 to be codified at 42 C.F.R. pts. 402 and 403.</w:t>
      </w:r>
    </w:p>
    <w:p w:rsidR="00C6059A" w:rsidRPr="00F669B1" w:rsidRDefault="00164C09" w:rsidP="009A0088">
      <w:pPr>
        <w:pStyle w:val="NoSpacing"/>
        <w:rPr>
          <w:i/>
          <w:iCs/>
          <w:color w:val="000000"/>
        </w:rPr>
      </w:pPr>
      <w:r w:rsidRPr="00F669B1">
        <w:rPr>
          <w:color w:val="000000"/>
        </w:rPr>
        <w:t xml:space="preserve"> </w:t>
      </w:r>
      <w:r w:rsidR="00C6059A" w:rsidRPr="00F669B1">
        <w:rPr>
          <w:color w:val="000000"/>
        </w:rPr>
        <w:t>6</w:t>
      </w:r>
      <w:r w:rsidR="00166013" w:rsidRPr="00F669B1">
        <w:rPr>
          <w:color w:val="000000"/>
        </w:rPr>
        <w:t>-</w:t>
      </w:r>
      <w:r w:rsidR="00C6059A" w:rsidRPr="00F669B1">
        <w:rPr>
          <w:color w:val="000000"/>
        </w:rPr>
        <w:t xml:space="preserve"> 78 Fed. Reg. 9458 to be codified at 42 C.F.R. pts. 402, 403.</w:t>
      </w:r>
    </w:p>
    <w:p w:rsidR="00F669B1" w:rsidRDefault="00C6059A" w:rsidP="009A0088">
      <w:pPr>
        <w:pStyle w:val="NoSpacing"/>
        <w:rPr>
          <w:color w:val="000000"/>
        </w:rPr>
      </w:pPr>
      <w:r w:rsidRPr="00F669B1">
        <w:rPr>
          <w:color w:val="000000"/>
        </w:rPr>
        <w:t>7</w:t>
      </w:r>
      <w:r w:rsidR="00166013" w:rsidRPr="00F669B1">
        <w:rPr>
          <w:color w:val="000000"/>
        </w:rPr>
        <w:t>-</w:t>
      </w:r>
      <w:r w:rsidRPr="00F669B1">
        <w:rPr>
          <w:color w:val="000000"/>
        </w:rPr>
        <w:t xml:space="preserve"> CMS requires payments to be reported in one of 14 categories: charitable</w:t>
      </w:r>
      <w:r w:rsidR="00164C09" w:rsidRPr="00F669B1">
        <w:rPr>
          <w:color w:val="000000"/>
        </w:rPr>
        <w:t xml:space="preserve"> </w:t>
      </w:r>
      <w:bookmarkStart w:id="0" w:name="_GoBack"/>
      <w:bookmarkEnd w:id="0"/>
      <w:r w:rsidRPr="00F669B1">
        <w:rPr>
          <w:color w:val="000000"/>
        </w:rPr>
        <w:t>contributions, consulting fees, compensation for non-consulting services,</w:t>
      </w:r>
      <w:r w:rsidR="00164C09" w:rsidRPr="00F669B1">
        <w:rPr>
          <w:color w:val="000000"/>
        </w:rPr>
        <w:t xml:space="preserve"> </w:t>
      </w:r>
      <w:r w:rsidRPr="00F669B1">
        <w:rPr>
          <w:color w:val="000000"/>
        </w:rPr>
        <w:t>current or prospective ownership or investment interests, direct compensation</w:t>
      </w:r>
      <w:r w:rsidR="00164C09" w:rsidRPr="00F669B1">
        <w:rPr>
          <w:color w:val="000000"/>
        </w:rPr>
        <w:t xml:space="preserve"> </w:t>
      </w:r>
      <w:r w:rsidRPr="00F669B1">
        <w:rPr>
          <w:color w:val="000000"/>
        </w:rPr>
        <w:t>for speaker or faculty for medical education programs, education,</w:t>
      </w:r>
      <w:r w:rsidR="00164C09" w:rsidRPr="00F669B1">
        <w:rPr>
          <w:color w:val="000000"/>
        </w:rPr>
        <w:t xml:space="preserve"> </w:t>
      </w:r>
      <w:r w:rsidRPr="00F669B1">
        <w:rPr>
          <w:color w:val="000000"/>
        </w:rPr>
        <w:t>entertainment, food and beverages, gifts, grants, honoraria, research,</w:t>
      </w:r>
      <w:r w:rsidR="00F669B1">
        <w:rPr>
          <w:color w:val="000000"/>
        </w:rPr>
        <w:t xml:space="preserve"> </w:t>
      </w:r>
      <w:r w:rsidRPr="00F669B1">
        <w:rPr>
          <w:color w:val="000000"/>
        </w:rPr>
        <w:t>royalty or licenses, or travel and lodging.</w:t>
      </w:r>
      <w:r w:rsidR="00166013" w:rsidRPr="00F669B1">
        <w:rPr>
          <w:color w:val="000000"/>
        </w:rPr>
        <w:t xml:space="preserve"> </w:t>
      </w:r>
    </w:p>
    <w:p w:rsidR="00F669B1" w:rsidRDefault="00C6059A" w:rsidP="009A0088">
      <w:pPr>
        <w:pStyle w:val="NoSpacing"/>
        <w:rPr>
          <w:color w:val="000000"/>
        </w:rPr>
      </w:pPr>
      <w:r w:rsidRPr="00F669B1">
        <w:rPr>
          <w:color w:val="000000"/>
        </w:rPr>
        <w:t>8</w:t>
      </w:r>
      <w:r w:rsidR="00166013" w:rsidRPr="00F669B1">
        <w:rPr>
          <w:color w:val="000000"/>
        </w:rPr>
        <w:t>-</w:t>
      </w:r>
      <w:r w:rsidRPr="00F669B1">
        <w:rPr>
          <w:color w:val="000000"/>
        </w:rPr>
        <w:t xml:space="preserve"> The law requires manufacturers to provide the names of the recipients of</w:t>
      </w:r>
      <w:r w:rsidR="00164C09" w:rsidRPr="00F669B1">
        <w:rPr>
          <w:color w:val="000000"/>
        </w:rPr>
        <w:t xml:space="preserve"> </w:t>
      </w:r>
      <w:r w:rsidRPr="00F669B1">
        <w:rPr>
          <w:color w:val="000000"/>
        </w:rPr>
        <w:t>food, though CMS recently clarified that disclosure of specific recipients</w:t>
      </w:r>
      <w:r w:rsidR="00164C09" w:rsidRPr="00F669B1">
        <w:rPr>
          <w:color w:val="000000"/>
        </w:rPr>
        <w:t xml:space="preserve"> </w:t>
      </w:r>
      <w:r w:rsidRPr="00F669B1">
        <w:rPr>
          <w:color w:val="000000"/>
        </w:rPr>
        <w:t>is not required when it would be difficult to identify who exactly consumed</w:t>
      </w:r>
      <w:r w:rsidR="00166013" w:rsidRPr="00F669B1">
        <w:rPr>
          <w:color w:val="000000"/>
        </w:rPr>
        <w:t xml:space="preserve"> </w:t>
      </w:r>
      <w:r w:rsidRPr="00F669B1">
        <w:rPr>
          <w:color w:val="000000"/>
        </w:rPr>
        <w:t>the food and beverage.</w:t>
      </w:r>
      <w:r w:rsidR="00166013" w:rsidRPr="00F669B1">
        <w:rPr>
          <w:color w:val="000000"/>
        </w:rPr>
        <w:t xml:space="preserve"> </w:t>
      </w:r>
    </w:p>
    <w:p w:rsidR="00F669B1" w:rsidRDefault="00C6059A" w:rsidP="009A0088">
      <w:pPr>
        <w:pStyle w:val="NoSpacing"/>
        <w:rPr>
          <w:color w:val="000000"/>
        </w:rPr>
      </w:pPr>
      <w:r w:rsidRPr="00F669B1">
        <w:rPr>
          <w:color w:val="000000"/>
        </w:rPr>
        <w:t>9</w:t>
      </w:r>
      <w:r w:rsidR="00166013" w:rsidRPr="00F669B1">
        <w:rPr>
          <w:color w:val="000000"/>
        </w:rPr>
        <w:t>-</w:t>
      </w:r>
      <w:r w:rsidRPr="00F669B1">
        <w:rPr>
          <w:color w:val="000000"/>
        </w:rPr>
        <w:t xml:space="preserve"> Research is defined as “a systematic investigation designed to develop or</w:t>
      </w:r>
      <w:r w:rsidR="00164C09" w:rsidRPr="00F669B1">
        <w:rPr>
          <w:color w:val="000000"/>
        </w:rPr>
        <w:t xml:space="preserve"> </w:t>
      </w:r>
      <w:r w:rsidRPr="00F669B1">
        <w:rPr>
          <w:color w:val="000000"/>
        </w:rPr>
        <w:t>contribute to generalized knowledge relating to public health, including</w:t>
      </w:r>
      <w:r w:rsidR="00164C09" w:rsidRPr="00F669B1">
        <w:rPr>
          <w:color w:val="000000"/>
        </w:rPr>
        <w:t xml:space="preserve"> </w:t>
      </w:r>
      <w:r w:rsidRPr="00F669B1">
        <w:rPr>
          <w:color w:val="000000"/>
        </w:rPr>
        <w:t>behavioral or social sciences research. This term encompasses basic</w:t>
      </w:r>
      <w:r w:rsidR="00164C09" w:rsidRPr="00F669B1">
        <w:rPr>
          <w:color w:val="000000"/>
        </w:rPr>
        <w:t xml:space="preserve"> </w:t>
      </w:r>
      <w:r w:rsidRPr="00F669B1">
        <w:rPr>
          <w:color w:val="000000"/>
        </w:rPr>
        <w:t>and applied research and product development.” Centers for Medicare</w:t>
      </w:r>
      <w:r w:rsidR="00164C09" w:rsidRPr="00F669B1">
        <w:rPr>
          <w:color w:val="000000"/>
        </w:rPr>
        <w:t xml:space="preserve"> </w:t>
      </w:r>
      <w:r w:rsidRPr="00F669B1">
        <w:rPr>
          <w:color w:val="000000"/>
        </w:rPr>
        <w:t>&amp; Medicaid Services. Medicare, Medicaid, Children’s Health Insurance</w:t>
      </w:r>
      <w:r w:rsidR="00166013" w:rsidRPr="00F669B1">
        <w:rPr>
          <w:color w:val="000000"/>
        </w:rPr>
        <w:t xml:space="preserve"> </w:t>
      </w:r>
      <w:r w:rsidRPr="00F669B1">
        <w:rPr>
          <w:color w:val="000000"/>
        </w:rPr>
        <w:t>Programs: transparency reports and reporting of physician ownership or</w:t>
      </w:r>
      <w:r w:rsidR="00164C09" w:rsidRPr="00F669B1">
        <w:rPr>
          <w:color w:val="000000"/>
        </w:rPr>
        <w:t xml:space="preserve"> </w:t>
      </w:r>
      <w:r w:rsidRPr="00F669B1">
        <w:rPr>
          <w:color w:val="000000"/>
        </w:rPr>
        <w:t>investment interests.</w:t>
      </w:r>
      <w:r w:rsidR="00166013" w:rsidRPr="00F669B1">
        <w:rPr>
          <w:color w:val="000000"/>
        </w:rPr>
        <w:t xml:space="preserve"> </w:t>
      </w:r>
    </w:p>
    <w:p w:rsidR="00F669B1" w:rsidRDefault="00C6059A" w:rsidP="009A0088">
      <w:pPr>
        <w:pStyle w:val="NoSpacing"/>
        <w:rPr>
          <w:i/>
          <w:iCs/>
          <w:color w:val="000000"/>
        </w:rPr>
      </w:pPr>
      <w:r w:rsidRPr="00F669B1">
        <w:rPr>
          <w:color w:val="000000"/>
        </w:rPr>
        <w:t>10</w:t>
      </w:r>
      <w:r w:rsidR="00166013" w:rsidRPr="00F669B1">
        <w:rPr>
          <w:color w:val="000000"/>
        </w:rPr>
        <w:t>-</w:t>
      </w:r>
      <w:r w:rsidRPr="00F669B1">
        <w:rPr>
          <w:color w:val="000000"/>
        </w:rPr>
        <w:t xml:space="preserve"> </w:t>
      </w:r>
      <w:r w:rsidRPr="00F669B1">
        <w:rPr>
          <w:i/>
          <w:iCs/>
          <w:color w:val="000000"/>
        </w:rPr>
        <w:t xml:space="preserve">See </w:t>
      </w:r>
      <w:r w:rsidRPr="00F669B1">
        <w:rPr>
          <w:color w:val="000000"/>
        </w:rPr>
        <w:t xml:space="preserve">Gary Shangold and Michael Koren, </w:t>
      </w:r>
      <w:r w:rsidRPr="00F669B1">
        <w:rPr>
          <w:i/>
          <w:iCs/>
          <w:color w:val="000000"/>
        </w:rPr>
        <w:t>Impact of the Sunshine Law</w:t>
      </w:r>
      <w:r w:rsidR="00164C09" w:rsidRPr="00F669B1">
        <w:rPr>
          <w:i/>
          <w:iCs/>
          <w:color w:val="000000"/>
        </w:rPr>
        <w:t xml:space="preserve"> </w:t>
      </w:r>
      <w:r w:rsidRPr="00F669B1">
        <w:rPr>
          <w:i/>
          <w:iCs/>
          <w:color w:val="000000"/>
        </w:rPr>
        <w:t xml:space="preserve">‘Open Payment’ Provision on Clinical Research, </w:t>
      </w:r>
      <w:r w:rsidRPr="00F669B1">
        <w:rPr>
          <w:color w:val="000000"/>
        </w:rPr>
        <w:t>12 MRLR 828 (2013).</w:t>
      </w:r>
      <w:r w:rsidR="00164C09" w:rsidRPr="00F669B1">
        <w:rPr>
          <w:i/>
          <w:iCs/>
          <w:color w:val="000000"/>
        </w:rPr>
        <w:t xml:space="preserve"> </w:t>
      </w:r>
    </w:p>
    <w:p w:rsidR="00F669B1" w:rsidRDefault="00C6059A" w:rsidP="009A0088">
      <w:pPr>
        <w:pStyle w:val="NoSpacing"/>
        <w:rPr>
          <w:color w:val="000000"/>
        </w:rPr>
      </w:pPr>
      <w:r w:rsidRPr="00F669B1">
        <w:rPr>
          <w:color w:val="000000"/>
        </w:rPr>
        <w:t>11</w:t>
      </w:r>
      <w:r w:rsidR="00166013" w:rsidRPr="00F669B1">
        <w:rPr>
          <w:color w:val="000000"/>
        </w:rPr>
        <w:t>-</w:t>
      </w:r>
      <w:r w:rsidRPr="00F669B1">
        <w:rPr>
          <w:color w:val="000000"/>
        </w:rPr>
        <w:t xml:space="preserve"> </w:t>
      </w:r>
      <w:r w:rsidRPr="00F669B1">
        <w:rPr>
          <w:i/>
          <w:iCs/>
          <w:color w:val="000000"/>
        </w:rPr>
        <w:t>Id.</w:t>
      </w:r>
      <w:r w:rsidR="00166013" w:rsidRPr="00F669B1">
        <w:rPr>
          <w:color w:val="000000"/>
        </w:rPr>
        <w:t xml:space="preserve"> </w:t>
      </w:r>
    </w:p>
    <w:p w:rsidR="00F669B1" w:rsidRDefault="00C6059A" w:rsidP="009A0088">
      <w:pPr>
        <w:pStyle w:val="NoSpacing"/>
        <w:rPr>
          <w:color w:val="000000"/>
        </w:rPr>
      </w:pPr>
      <w:r w:rsidRPr="00F669B1">
        <w:rPr>
          <w:color w:val="000000"/>
        </w:rPr>
        <w:t>12</w:t>
      </w:r>
      <w:r w:rsidR="00166013" w:rsidRPr="00F669B1">
        <w:rPr>
          <w:color w:val="000000"/>
        </w:rPr>
        <w:t>-</w:t>
      </w:r>
      <w:r w:rsidRPr="00F669B1">
        <w:rPr>
          <w:color w:val="000000"/>
        </w:rPr>
        <w:t xml:space="preserve"> As of the date of submission, CMS has not yet opened registration for</w:t>
      </w:r>
      <w:r w:rsidR="00164C09" w:rsidRPr="00F669B1">
        <w:rPr>
          <w:color w:val="000000"/>
        </w:rPr>
        <w:t xml:space="preserve"> </w:t>
      </w:r>
      <w:r w:rsidRPr="00F669B1">
        <w:rPr>
          <w:color w:val="000000"/>
        </w:rPr>
        <w:t>manufacturers and has changed the date of registration opening from</w:t>
      </w:r>
      <w:r w:rsidR="00164C09" w:rsidRPr="00F669B1">
        <w:rPr>
          <w:color w:val="000000"/>
        </w:rPr>
        <w:t xml:space="preserve"> </w:t>
      </w:r>
      <w:r w:rsidRPr="00F669B1">
        <w:rPr>
          <w:color w:val="000000"/>
        </w:rPr>
        <w:t>January 1, 2013 to “early 2014.”</w:t>
      </w:r>
      <w:r w:rsidR="00166013" w:rsidRPr="00F669B1">
        <w:rPr>
          <w:color w:val="000000"/>
        </w:rPr>
        <w:t xml:space="preserve"> </w:t>
      </w:r>
    </w:p>
    <w:p w:rsidR="00F669B1" w:rsidRDefault="00C6059A" w:rsidP="009A0088">
      <w:pPr>
        <w:pStyle w:val="NoSpacing"/>
        <w:rPr>
          <w:color w:val="000000"/>
        </w:rPr>
      </w:pPr>
      <w:r w:rsidRPr="00F669B1">
        <w:rPr>
          <w:color w:val="000000"/>
        </w:rPr>
        <w:t>13</w:t>
      </w:r>
      <w:r w:rsidR="00166013" w:rsidRPr="00F669B1">
        <w:rPr>
          <w:color w:val="000000"/>
        </w:rPr>
        <w:t>-</w:t>
      </w:r>
      <w:r w:rsidRPr="00F669B1">
        <w:rPr>
          <w:color w:val="000000"/>
        </w:rPr>
        <w:t xml:space="preserve"> Factors used in determining the amount of CMP imposed include: the</w:t>
      </w:r>
      <w:r w:rsidR="00164C09" w:rsidRPr="00F669B1">
        <w:rPr>
          <w:color w:val="000000"/>
        </w:rPr>
        <w:t xml:space="preserve"> </w:t>
      </w:r>
      <w:r w:rsidRPr="00F669B1">
        <w:rPr>
          <w:color w:val="000000"/>
        </w:rPr>
        <w:t>length of time the manufacturer or GPO failed to report, including the</w:t>
      </w:r>
      <w:r w:rsidR="00164C09" w:rsidRPr="00F669B1">
        <w:rPr>
          <w:color w:val="000000"/>
        </w:rPr>
        <w:t xml:space="preserve"> </w:t>
      </w:r>
      <w:r w:rsidRPr="00F669B1">
        <w:rPr>
          <w:color w:val="000000"/>
        </w:rPr>
        <w:t>amount of time the manufacturer or GPO knew of the payments or</w:t>
      </w:r>
      <w:r w:rsidR="00164C09" w:rsidRPr="00F669B1">
        <w:rPr>
          <w:color w:val="000000"/>
        </w:rPr>
        <w:t xml:space="preserve"> </w:t>
      </w:r>
      <w:r w:rsidRPr="00F669B1">
        <w:rPr>
          <w:color w:val="000000"/>
        </w:rPr>
        <w:t>transfer of value that should be reported; the amount of payment the</w:t>
      </w:r>
      <w:r w:rsidR="00164C09" w:rsidRPr="00F669B1">
        <w:rPr>
          <w:color w:val="000000"/>
        </w:rPr>
        <w:t xml:space="preserve"> </w:t>
      </w:r>
      <w:r w:rsidRPr="00F669B1">
        <w:rPr>
          <w:color w:val="000000"/>
        </w:rPr>
        <w:t>manufacturer or GPO failed to report; the level of culpability of the</w:t>
      </w:r>
      <w:r w:rsidR="00164C09" w:rsidRPr="00F669B1">
        <w:rPr>
          <w:color w:val="000000"/>
        </w:rPr>
        <w:t xml:space="preserve"> </w:t>
      </w:r>
      <w:r w:rsidRPr="00F669B1">
        <w:rPr>
          <w:color w:val="000000"/>
        </w:rPr>
        <w:t>manufacturer or GPO; the nature and amount of information reported</w:t>
      </w:r>
      <w:r w:rsidR="00164C09" w:rsidRPr="00F669B1">
        <w:rPr>
          <w:color w:val="000000"/>
        </w:rPr>
        <w:t xml:space="preserve"> </w:t>
      </w:r>
      <w:r w:rsidRPr="00F669B1">
        <w:rPr>
          <w:color w:val="000000"/>
        </w:rPr>
        <w:t>in error; and the degree of di</w:t>
      </w:r>
      <w:r w:rsidR="00164C09" w:rsidRPr="00F669B1">
        <w:rPr>
          <w:color w:val="000000"/>
        </w:rPr>
        <w:t xml:space="preserve">ligence exercised in correcting </w:t>
      </w:r>
      <w:r w:rsidRPr="00F669B1">
        <w:rPr>
          <w:color w:val="000000"/>
        </w:rPr>
        <w:t>information</w:t>
      </w:r>
      <w:r w:rsidR="00164C09" w:rsidRPr="00F669B1">
        <w:rPr>
          <w:color w:val="000000"/>
        </w:rPr>
        <w:t xml:space="preserve"> </w:t>
      </w:r>
      <w:r w:rsidRPr="00F669B1">
        <w:rPr>
          <w:color w:val="000000"/>
        </w:rPr>
        <w:t>reported in error.</w:t>
      </w:r>
      <w:r w:rsidR="00164C09" w:rsidRPr="00F669B1">
        <w:rPr>
          <w:color w:val="000000"/>
        </w:rPr>
        <w:t xml:space="preserve"> </w:t>
      </w:r>
    </w:p>
    <w:p w:rsidR="00C6059A" w:rsidRPr="00F669B1" w:rsidRDefault="00C6059A" w:rsidP="009A0088">
      <w:pPr>
        <w:pStyle w:val="NoSpacing"/>
        <w:rPr>
          <w:color w:val="000000"/>
        </w:rPr>
      </w:pPr>
      <w:r w:rsidRPr="00F669B1">
        <w:rPr>
          <w:color w:val="000000"/>
        </w:rPr>
        <w:t>14 42 C.F.R. pt. 50, subpt. F; 42 C.F.R. pt. 94</w:t>
      </w:r>
    </w:p>
    <w:p w:rsidR="00567329" w:rsidRPr="00F669B1" w:rsidRDefault="00567329" w:rsidP="009A0088">
      <w:pPr>
        <w:pStyle w:val="NoSpacing"/>
        <w:rPr>
          <w:color w:val="000000"/>
        </w:rPr>
      </w:pPr>
    </w:p>
    <w:sectPr w:rsidR="00567329" w:rsidRPr="00F669B1" w:rsidSect="000A287A">
      <w:type w:val="continuous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297" w:rsidRDefault="00676297" w:rsidP="00676297">
      <w:pPr>
        <w:spacing w:after="0" w:line="240" w:lineRule="auto"/>
      </w:pPr>
      <w:r>
        <w:separator/>
      </w:r>
    </w:p>
  </w:endnote>
  <w:endnote w:type="continuationSeparator" w:id="0">
    <w:p w:rsidR="00676297" w:rsidRDefault="00676297" w:rsidP="00676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0052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6297" w:rsidRDefault="006762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2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76297" w:rsidRDefault="006762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297" w:rsidRDefault="00676297" w:rsidP="00676297">
      <w:pPr>
        <w:spacing w:after="0" w:line="240" w:lineRule="auto"/>
      </w:pPr>
      <w:r>
        <w:separator/>
      </w:r>
    </w:p>
  </w:footnote>
  <w:footnote w:type="continuationSeparator" w:id="0">
    <w:p w:rsidR="00676297" w:rsidRDefault="00676297" w:rsidP="00676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12" w:rsidRDefault="00633B87">
    <w:pPr>
      <w:pStyle w:val="Header"/>
    </w:pPr>
    <w:r>
      <w:t>Sunshine Act AHLA v4</w:t>
    </w:r>
  </w:p>
  <w:p w:rsidR="00B57D12" w:rsidRDefault="00B57D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37"/>
    <w:rsid w:val="00010419"/>
    <w:rsid w:val="0001741B"/>
    <w:rsid w:val="000A287A"/>
    <w:rsid w:val="000E01CB"/>
    <w:rsid w:val="00164C09"/>
    <w:rsid w:val="00166013"/>
    <w:rsid w:val="001E2338"/>
    <w:rsid w:val="002F1E1E"/>
    <w:rsid w:val="003316AD"/>
    <w:rsid w:val="003A62A8"/>
    <w:rsid w:val="003B08F2"/>
    <w:rsid w:val="003C1DDE"/>
    <w:rsid w:val="004A0F16"/>
    <w:rsid w:val="00567329"/>
    <w:rsid w:val="00633B87"/>
    <w:rsid w:val="0064401E"/>
    <w:rsid w:val="00676297"/>
    <w:rsid w:val="009A0088"/>
    <w:rsid w:val="00A86B39"/>
    <w:rsid w:val="00AC460D"/>
    <w:rsid w:val="00B57D12"/>
    <w:rsid w:val="00B919F6"/>
    <w:rsid w:val="00C01EA9"/>
    <w:rsid w:val="00C6059A"/>
    <w:rsid w:val="00CD744D"/>
    <w:rsid w:val="00CE4837"/>
    <w:rsid w:val="00D20707"/>
    <w:rsid w:val="00D874DD"/>
    <w:rsid w:val="00ED3E66"/>
    <w:rsid w:val="00F669B1"/>
    <w:rsid w:val="00F71444"/>
    <w:rsid w:val="00F76A2B"/>
    <w:rsid w:val="00F9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F7770A"/>
  <w15:docId w15:val="{E547514B-5D78-4307-B088-5F88B6D9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059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A008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0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6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297"/>
  </w:style>
  <w:style w:type="paragraph" w:styleId="Footer">
    <w:name w:val="footer"/>
    <w:basedOn w:val="Normal"/>
    <w:link w:val="FooterChar"/>
    <w:uiPriority w:val="99"/>
    <w:unhideWhenUsed/>
    <w:rsid w:val="00676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297"/>
  </w:style>
  <w:style w:type="character" w:styleId="FollowedHyperlink">
    <w:name w:val="FollowedHyperlink"/>
    <w:basedOn w:val="DefaultParagraphFont"/>
    <w:uiPriority w:val="99"/>
    <w:semiHidden/>
    <w:unhideWhenUsed/>
    <w:rsid w:val="003A62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lawyers.org/Members/PracticeGroups/IHC/Documents/IHC_March14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ama-assn.org/sites/default/files/media-browser/specialty%20group/washington/sunshine-act-brochu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2341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jmarie</dc:creator>
  <cp:lastModifiedBy>Robicheaux, Zachary J.</cp:lastModifiedBy>
  <cp:revision>10</cp:revision>
  <cp:lastPrinted>2015-12-16T20:46:00Z</cp:lastPrinted>
  <dcterms:created xsi:type="dcterms:W3CDTF">2015-12-15T16:30:00Z</dcterms:created>
  <dcterms:modified xsi:type="dcterms:W3CDTF">2017-12-20T21:13:00Z</dcterms:modified>
</cp:coreProperties>
</file>