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128" w14:textId="77777777" w:rsidR="003C0B8D" w:rsidRDefault="000B1156">
      <w:pPr>
        <w:spacing w:after="60"/>
      </w:pPr>
      <w:r>
        <w:rPr>
          <w:color w:val="888888"/>
          <w:sz w:val="20"/>
          <w:szCs w:val="20"/>
        </w:rPr>
        <w:t>LSU Health New Orleans · School of Medicine</w:t>
      </w:r>
    </w:p>
    <w:p w14:paraId="15E44167" w14:textId="77777777" w:rsidR="003C0B8D" w:rsidRDefault="000B1156">
      <w:pPr>
        <w:spacing w:after="80"/>
      </w:pPr>
      <w:r>
        <w:rPr>
          <w:color w:val="888888"/>
          <w:sz w:val="20"/>
          <w:szCs w:val="20"/>
        </w:rPr>
        <w:t>Department of Radiology</w:t>
      </w:r>
    </w:p>
    <w:p w14:paraId="70ADC609" w14:textId="77777777" w:rsidR="003C0B8D" w:rsidRDefault="000B1156">
      <w:pPr>
        <w:pBdr>
          <w:bottom w:val="single" w:sz="6" w:space="2" w:color="461D7C"/>
        </w:pBdr>
        <w:spacing w:after="200"/>
      </w:pPr>
      <w:r>
        <w:rPr>
          <w:b/>
          <w:bCs/>
          <w:color w:val="461D7C"/>
          <w:sz w:val="40"/>
          <w:szCs w:val="40"/>
        </w:rPr>
        <w:t>4th Year Medical Student Radiology Elective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3C0B8D" w14:paraId="3BAD93B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E3F5"/>
            <w:tcMar>
              <w:top w:w="80" w:type="dxa"/>
              <w:left w:w="140" w:type="dxa"/>
              <w:bottom w:w="80" w:type="dxa"/>
              <w:right w:w="120" w:type="dxa"/>
            </w:tcMar>
          </w:tcPr>
          <w:p w14:paraId="55933B42" w14:textId="77777777" w:rsidR="003C0B8D" w:rsidRDefault="000B1156">
            <w:r>
              <w:rPr>
                <w:b/>
                <w:bCs/>
                <w:color w:val="461D7C"/>
                <w:sz w:val="20"/>
                <w:szCs w:val="20"/>
              </w:rPr>
              <w:t>Course Number</w:t>
            </w:r>
          </w:p>
        </w:tc>
        <w:tc>
          <w:tcPr>
            <w:tcW w:w="62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40" w:type="dxa"/>
              <w:bottom w:w="80" w:type="dxa"/>
              <w:right w:w="120" w:type="dxa"/>
            </w:tcMar>
          </w:tcPr>
          <w:p w14:paraId="0C5533B6" w14:textId="1A5CAD59" w:rsidR="003C0B8D" w:rsidRDefault="000B1156">
            <w:r>
              <w:rPr>
                <w:color w:val="333333"/>
                <w:sz w:val="20"/>
                <w:szCs w:val="20"/>
              </w:rPr>
              <w:t>RADI 4</w:t>
            </w:r>
            <w:r w:rsidR="0078677F">
              <w:rPr>
                <w:color w:val="333333"/>
                <w:sz w:val="20"/>
                <w:szCs w:val="20"/>
              </w:rPr>
              <w:t>20</w:t>
            </w:r>
          </w:p>
        </w:tc>
      </w:tr>
      <w:tr w:rsidR="003C0B8D" w14:paraId="7353624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E3F5"/>
            <w:tcMar>
              <w:top w:w="80" w:type="dxa"/>
              <w:left w:w="140" w:type="dxa"/>
              <w:bottom w:w="80" w:type="dxa"/>
              <w:right w:w="120" w:type="dxa"/>
            </w:tcMar>
          </w:tcPr>
          <w:p w14:paraId="0D0817EA" w14:textId="77777777" w:rsidR="003C0B8D" w:rsidRDefault="000B1156">
            <w:r>
              <w:rPr>
                <w:b/>
                <w:bCs/>
                <w:color w:val="461D7C"/>
                <w:sz w:val="20"/>
                <w:szCs w:val="20"/>
              </w:rPr>
              <w:t>Course Director</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20" w:type="dxa"/>
            </w:tcMar>
          </w:tcPr>
          <w:p w14:paraId="0A8A3657" w14:textId="77777777" w:rsidR="003C0B8D" w:rsidRDefault="000B1156">
            <w:r>
              <w:rPr>
                <w:color w:val="333333"/>
                <w:sz w:val="20"/>
                <w:szCs w:val="20"/>
              </w:rPr>
              <w:t>Dr. David Smith, Professor of Radiology (Clinical Specialist) Director of Medical Student Education</w:t>
            </w:r>
          </w:p>
        </w:tc>
      </w:tr>
      <w:tr w:rsidR="003C0B8D" w14:paraId="00E93E3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E3F5"/>
            <w:tcMar>
              <w:top w:w="80" w:type="dxa"/>
              <w:left w:w="140" w:type="dxa"/>
              <w:bottom w:w="80" w:type="dxa"/>
              <w:right w:w="120" w:type="dxa"/>
            </w:tcMar>
          </w:tcPr>
          <w:p w14:paraId="60EDF9E2" w14:textId="77777777" w:rsidR="003C0B8D" w:rsidRDefault="000B1156">
            <w:r>
              <w:rPr>
                <w:b/>
                <w:bCs/>
                <w:color w:val="461D7C"/>
                <w:sz w:val="20"/>
                <w:szCs w:val="20"/>
              </w:rPr>
              <w:t>Administrator</w:t>
            </w:r>
          </w:p>
        </w:tc>
        <w:tc>
          <w:tcPr>
            <w:tcW w:w="62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40" w:type="dxa"/>
              <w:bottom w:w="80" w:type="dxa"/>
              <w:right w:w="120" w:type="dxa"/>
            </w:tcMar>
          </w:tcPr>
          <w:p w14:paraId="24984705" w14:textId="77777777" w:rsidR="003C0B8D" w:rsidRDefault="000B1156">
            <w:r>
              <w:rPr>
                <w:color w:val="333333"/>
                <w:sz w:val="20"/>
                <w:szCs w:val="20"/>
              </w:rPr>
              <w:t>Heather Clary, Medical Student Education Coordinator</w:t>
            </w:r>
          </w:p>
        </w:tc>
      </w:tr>
      <w:tr w:rsidR="003C0B8D" w14:paraId="6BEAC65D"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E3F5"/>
            <w:tcMar>
              <w:top w:w="80" w:type="dxa"/>
              <w:left w:w="140" w:type="dxa"/>
              <w:bottom w:w="80" w:type="dxa"/>
              <w:right w:w="120" w:type="dxa"/>
            </w:tcMar>
          </w:tcPr>
          <w:p w14:paraId="0F04B50D" w14:textId="77777777" w:rsidR="003C0B8D" w:rsidRDefault="000B1156">
            <w:r>
              <w:rPr>
                <w:b/>
                <w:bCs/>
                <w:color w:val="461D7C"/>
                <w:sz w:val="20"/>
                <w:szCs w:val="20"/>
              </w:rPr>
              <w:t>Duration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20" w:type="dxa"/>
            </w:tcMar>
          </w:tcPr>
          <w:p w14:paraId="42A26ADF" w14:textId="77777777" w:rsidR="003C0B8D" w:rsidRDefault="000B1156">
            <w:r>
              <w:rPr>
                <w:color w:val="333333"/>
                <w:sz w:val="20"/>
                <w:szCs w:val="20"/>
              </w:rPr>
              <w:t>4 weeks</w:t>
            </w:r>
          </w:p>
        </w:tc>
      </w:tr>
      <w:tr w:rsidR="003C0B8D" w14:paraId="5C84593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E3F5"/>
            <w:tcMar>
              <w:top w:w="80" w:type="dxa"/>
              <w:left w:w="140" w:type="dxa"/>
              <w:bottom w:w="80" w:type="dxa"/>
              <w:right w:w="120" w:type="dxa"/>
            </w:tcMar>
          </w:tcPr>
          <w:p w14:paraId="28C8BBBF" w14:textId="77777777" w:rsidR="003C0B8D" w:rsidRDefault="000B1156">
            <w:r>
              <w:rPr>
                <w:b/>
                <w:bCs/>
                <w:color w:val="461D7C"/>
                <w:sz w:val="20"/>
                <w:szCs w:val="20"/>
              </w:rPr>
              <w:t>Availability</w:t>
            </w:r>
          </w:p>
        </w:tc>
        <w:tc>
          <w:tcPr>
            <w:tcW w:w="62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40" w:type="dxa"/>
              <w:bottom w:w="80" w:type="dxa"/>
              <w:right w:w="120" w:type="dxa"/>
            </w:tcMar>
          </w:tcPr>
          <w:p w14:paraId="37D75FD6" w14:textId="77777777" w:rsidR="003C0B8D" w:rsidRDefault="000B1156">
            <w:r>
              <w:rPr>
                <w:color w:val="333333"/>
                <w:sz w:val="20"/>
                <w:szCs w:val="20"/>
              </w:rPr>
              <w:t>All blocks except Block 7</w:t>
            </w:r>
          </w:p>
        </w:tc>
      </w:tr>
      <w:tr w:rsidR="003C0B8D" w14:paraId="100182B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E3F5"/>
            <w:tcMar>
              <w:top w:w="80" w:type="dxa"/>
              <w:left w:w="140" w:type="dxa"/>
              <w:bottom w:w="80" w:type="dxa"/>
              <w:right w:w="120" w:type="dxa"/>
            </w:tcMar>
          </w:tcPr>
          <w:p w14:paraId="5C5FE0A8" w14:textId="77777777" w:rsidR="003C0B8D" w:rsidRDefault="000B1156">
            <w:r>
              <w:rPr>
                <w:b/>
                <w:bCs/>
                <w:color w:val="461D7C"/>
                <w:sz w:val="20"/>
                <w:szCs w:val="20"/>
              </w:rPr>
              <w:t>Enrollment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20" w:type="dxa"/>
            </w:tcMar>
          </w:tcPr>
          <w:p w14:paraId="653A7E05" w14:textId="77777777" w:rsidR="003C0B8D" w:rsidRDefault="000B1156">
            <w:r>
              <w:rPr>
                <w:color w:val="333333"/>
                <w:sz w:val="20"/>
                <w:szCs w:val="20"/>
              </w:rPr>
              <w:t>4 students per block</w:t>
            </w:r>
          </w:p>
        </w:tc>
      </w:tr>
      <w:tr w:rsidR="003C0B8D" w14:paraId="77E9F8C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E3F5"/>
            <w:tcMar>
              <w:top w:w="80" w:type="dxa"/>
              <w:left w:w="140" w:type="dxa"/>
              <w:bottom w:w="80" w:type="dxa"/>
              <w:right w:w="120" w:type="dxa"/>
            </w:tcMar>
          </w:tcPr>
          <w:p w14:paraId="2500C52E" w14:textId="77777777" w:rsidR="003C0B8D" w:rsidRDefault="000B1156">
            <w:r>
              <w:rPr>
                <w:b/>
                <w:bCs/>
                <w:color w:val="461D7C"/>
                <w:sz w:val="20"/>
                <w:szCs w:val="20"/>
              </w:rPr>
              <w:t>Contact</w:t>
            </w:r>
          </w:p>
        </w:tc>
        <w:tc>
          <w:tcPr>
            <w:tcW w:w="62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40" w:type="dxa"/>
              <w:bottom w:w="80" w:type="dxa"/>
              <w:right w:w="120" w:type="dxa"/>
            </w:tcMar>
          </w:tcPr>
          <w:p w14:paraId="2999449D" w14:textId="77777777" w:rsidR="003C0B8D" w:rsidRDefault="000B1156">
            <w:r>
              <w:rPr>
                <w:color w:val="333333"/>
                <w:sz w:val="20"/>
                <w:szCs w:val="20"/>
              </w:rPr>
              <w:t>hclary@lsuhsc.edu</w:t>
            </w:r>
          </w:p>
        </w:tc>
      </w:tr>
    </w:tbl>
    <w:p w14:paraId="65F9B78B" w14:textId="77777777" w:rsidR="003C0B8D" w:rsidRDefault="003C0B8D">
      <w:pPr>
        <w:pBdr>
          <w:bottom w:val="single" w:sz="4" w:space="1" w:color="461D7C"/>
        </w:pBdr>
        <w:spacing w:before="120" w:after="120"/>
      </w:pPr>
    </w:p>
    <w:p w14:paraId="380333D3" w14:textId="77777777" w:rsidR="003C0B8D" w:rsidRDefault="000B1156">
      <w:pPr>
        <w:spacing w:before="280" w:after="60"/>
      </w:pPr>
      <w:r>
        <w:rPr>
          <w:b/>
          <w:bCs/>
          <w:color w:val="461D7C"/>
          <w:spacing w:val="40"/>
          <w:sz w:val="18"/>
          <w:szCs w:val="18"/>
        </w:rPr>
        <w:t>COURSE OVERVIEW</w:t>
      </w:r>
    </w:p>
    <w:p w14:paraId="6DE807CE" w14:textId="4074E9F7" w:rsidR="003C0B8D" w:rsidRDefault="000B1156">
      <w:pPr>
        <w:spacing w:before="60" w:after="120"/>
      </w:pPr>
      <w:r>
        <w:rPr>
          <w:color w:val="333333"/>
        </w:rPr>
        <w:t>General Diagnostic Radiology (RADI 42</w:t>
      </w:r>
      <w:r w:rsidR="0078677F">
        <w:rPr>
          <w:color w:val="333333"/>
        </w:rPr>
        <w:t>0</w:t>
      </w:r>
      <w:r>
        <w:rPr>
          <w:color w:val="333333"/>
        </w:rPr>
        <w:t xml:space="preserve">) is a four-week elective that introduces fourth-year medical students to the full scope of diagnostic radiology. Students rotate through the department's academic sections, attend daily lectures, and engage in structured independent study. The elective is organized into </w:t>
      </w:r>
      <w:r>
        <w:rPr>
          <w:b/>
          <w:bCs/>
          <w:color w:val="333333"/>
        </w:rPr>
        <w:t>two learning tracks</w:t>
      </w:r>
      <w:r>
        <w:rPr>
          <w:color w:val="333333"/>
        </w:rPr>
        <w:t xml:space="preserve"> tailored to a student's intended career path, ensuring relevance </w:t>
      </w:r>
      <w:proofErr w:type="gramStart"/>
      <w:r>
        <w:rPr>
          <w:color w:val="333333"/>
        </w:rPr>
        <w:t>whether or not</w:t>
      </w:r>
      <w:proofErr w:type="gramEnd"/>
      <w:r>
        <w:rPr>
          <w:color w:val="333333"/>
        </w:rPr>
        <w:t xml:space="preserve"> radiology is the chosen specialty.</w:t>
      </w:r>
    </w:p>
    <w:p w14:paraId="79806816" w14:textId="77777777" w:rsidR="003C0B8D" w:rsidRDefault="003C0B8D">
      <w:pPr>
        <w:pBdr>
          <w:bottom w:val="single" w:sz="4" w:space="1" w:color="461D7C"/>
        </w:pBdr>
        <w:spacing w:before="120" w:after="120"/>
      </w:pPr>
    </w:p>
    <w:p w14:paraId="4E2616BE" w14:textId="77777777" w:rsidR="003C0B8D" w:rsidRDefault="000B1156">
      <w:pPr>
        <w:spacing w:before="280" w:after="60"/>
      </w:pPr>
      <w:r>
        <w:rPr>
          <w:b/>
          <w:bCs/>
          <w:color w:val="461D7C"/>
          <w:spacing w:val="40"/>
          <w:sz w:val="18"/>
          <w:szCs w:val="18"/>
        </w:rPr>
        <w:t>LEARNING TRACKS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0B8D" w14:paraId="7851C15C" w14:textId="77777777">
        <w:tblPrEx>
          <w:tblCellMar>
            <w:top w:w="0" w:type="dxa"/>
            <w:bottom w:w="0" w:type="dxa"/>
          </w:tblCellMar>
        </w:tblPrEx>
        <w:tc>
          <w:tcPr>
            <w:tcW w:w="9360" w:type="dxa"/>
            <w:tcBorders>
              <w:top w:val="single" w:sz="6" w:space="0" w:color="B8860B"/>
              <w:left w:val="single" w:sz="6" w:space="0" w:color="B8860B"/>
              <w:bottom w:val="single" w:sz="1" w:space="0" w:color="CCCCCC"/>
              <w:right w:val="single" w:sz="1" w:space="0" w:color="CCCCCC"/>
            </w:tcBorders>
            <w:shd w:val="clear" w:color="auto" w:fill="FFFDF0"/>
            <w:tcMar>
              <w:top w:w="100" w:type="dxa"/>
              <w:left w:w="200" w:type="dxa"/>
              <w:bottom w:w="100" w:type="dxa"/>
              <w:right w:w="200" w:type="dxa"/>
            </w:tcMar>
          </w:tcPr>
          <w:p w14:paraId="26434F84" w14:textId="77777777" w:rsidR="003C0B8D" w:rsidRDefault="000B1156">
            <w:r>
              <w:rPr>
                <w:b/>
                <w:bCs/>
                <w:color w:val="B8860B"/>
                <w:sz w:val="24"/>
                <w:szCs w:val="24"/>
              </w:rPr>
              <w:t xml:space="preserve">Track </w:t>
            </w:r>
            <w:proofErr w:type="gramStart"/>
            <w:r>
              <w:rPr>
                <w:b/>
                <w:bCs/>
                <w:color w:val="B8860B"/>
                <w:sz w:val="24"/>
                <w:szCs w:val="24"/>
              </w:rPr>
              <w:t>A  ·</w:t>
            </w:r>
            <w:proofErr w:type="gramEnd"/>
            <w:r>
              <w:rPr>
                <w:b/>
                <w:bCs/>
                <w:color w:val="B8860B"/>
                <w:sz w:val="24"/>
                <w:szCs w:val="24"/>
              </w:rPr>
              <w:t xml:space="preserve">  Future Radiologist</w:t>
            </w:r>
          </w:p>
          <w:p w14:paraId="7F4E4248" w14:textId="77777777" w:rsidR="003C0B8D" w:rsidRDefault="000B1156">
            <w:pPr>
              <w:spacing w:before="60"/>
            </w:pPr>
            <w:r>
              <w:rPr>
                <w:color w:val="444444"/>
                <w:sz w:val="21"/>
                <w:szCs w:val="21"/>
              </w:rPr>
              <w:t>For students considering radiology as their specialty. Emphasizes imaging interpretation, subspecialty exposure, and the academic skills needed for a competitive residency application, including the optional ACR Case in Point (</w:t>
            </w:r>
            <w:proofErr w:type="spellStart"/>
            <w:r>
              <w:rPr>
                <w:color w:val="444444"/>
                <w:sz w:val="21"/>
                <w:szCs w:val="21"/>
              </w:rPr>
              <w:t>CiP</w:t>
            </w:r>
            <w:proofErr w:type="spellEnd"/>
            <w:r>
              <w:rPr>
                <w:color w:val="444444"/>
                <w:sz w:val="21"/>
                <w:szCs w:val="21"/>
              </w:rPr>
              <w:t>) Honors pathway.</w:t>
            </w:r>
          </w:p>
        </w:tc>
      </w:tr>
    </w:tbl>
    <w:p w14:paraId="7373D457" w14:textId="77777777" w:rsidR="003C0B8D" w:rsidRDefault="003C0B8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0B8D" w14:paraId="030A9504" w14:textId="77777777">
        <w:tblPrEx>
          <w:tblCellMar>
            <w:top w:w="0" w:type="dxa"/>
            <w:bottom w:w="0" w:type="dxa"/>
          </w:tblCellMar>
        </w:tblPrEx>
        <w:tc>
          <w:tcPr>
            <w:tcW w:w="9360" w:type="dxa"/>
            <w:tcBorders>
              <w:top w:val="single" w:sz="6" w:space="0" w:color="461D7C"/>
              <w:left w:val="single" w:sz="6" w:space="0" w:color="461D7C"/>
              <w:bottom w:val="single" w:sz="1" w:space="0" w:color="CCCCCC"/>
              <w:right w:val="single" w:sz="1" w:space="0" w:color="CCCCCC"/>
            </w:tcBorders>
            <w:shd w:val="clear" w:color="auto" w:fill="F5F0FC"/>
            <w:tcMar>
              <w:top w:w="100" w:type="dxa"/>
              <w:left w:w="200" w:type="dxa"/>
              <w:bottom w:w="100" w:type="dxa"/>
              <w:right w:w="200" w:type="dxa"/>
            </w:tcMar>
          </w:tcPr>
          <w:p w14:paraId="3DA5F96E" w14:textId="77777777" w:rsidR="003C0B8D" w:rsidRDefault="000B1156">
            <w:r>
              <w:rPr>
                <w:b/>
                <w:bCs/>
                <w:color w:val="461D7C"/>
                <w:sz w:val="24"/>
                <w:szCs w:val="24"/>
              </w:rPr>
              <w:t xml:space="preserve">Track </w:t>
            </w:r>
            <w:proofErr w:type="gramStart"/>
            <w:r>
              <w:rPr>
                <w:b/>
                <w:bCs/>
                <w:color w:val="461D7C"/>
                <w:sz w:val="24"/>
                <w:szCs w:val="24"/>
              </w:rPr>
              <w:t>B  ·</w:t>
            </w:r>
            <w:proofErr w:type="gramEnd"/>
            <w:r>
              <w:rPr>
                <w:b/>
                <w:bCs/>
                <w:color w:val="461D7C"/>
                <w:sz w:val="24"/>
                <w:szCs w:val="24"/>
              </w:rPr>
              <w:t xml:space="preserve">  Future Non-Radiologist</w:t>
            </w:r>
          </w:p>
          <w:p w14:paraId="235EB320" w14:textId="77777777" w:rsidR="003C0B8D" w:rsidRDefault="000B1156">
            <w:pPr>
              <w:spacing w:before="60"/>
            </w:pPr>
            <w:r>
              <w:rPr>
                <w:color w:val="444444"/>
                <w:sz w:val="21"/>
                <w:szCs w:val="21"/>
              </w:rPr>
              <w:t xml:space="preserve">For students entering other specialties. Focuses on ordering appropriate imaging studies, interpreting common findings encountered on the </w:t>
            </w:r>
            <w:proofErr w:type="gramStart"/>
            <w:r>
              <w:rPr>
                <w:color w:val="444444"/>
                <w:sz w:val="21"/>
                <w:szCs w:val="21"/>
              </w:rPr>
              <w:t>wards</w:t>
            </w:r>
            <w:proofErr w:type="gramEnd"/>
            <w:r>
              <w:rPr>
                <w:color w:val="444444"/>
                <w:sz w:val="21"/>
                <w:szCs w:val="21"/>
              </w:rPr>
              <w:t xml:space="preserve"> and in the ED, and communicating effectively with radiologists throughout a clinical career.</w:t>
            </w:r>
          </w:p>
        </w:tc>
      </w:tr>
    </w:tbl>
    <w:p w14:paraId="48036B62" w14:textId="77777777" w:rsidR="003C0B8D" w:rsidRDefault="003C0B8D">
      <w:pPr>
        <w:pBdr>
          <w:bottom w:val="single" w:sz="4" w:space="1" w:color="461D7C"/>
        </w:pBdr>
        <w:spacing w:before="120" w:after="120"/>
      </w:pPr>
    </w:p>
    <w:p w14:paraId="463B5988" w14:textId="77777777" w:rsidR="003C0B8D" w:rsidRDefault="000B1156">
      <w:pPr>
        <w:spacing w:before="280" w:after="60"/>
      </w:pPr>
      <w:r>
        <w:rPr>
          <w:b/>
          <w:bCs/>
          <w:color w:val="461D7C"/>
          <w:spacing w:val="40"/>
          <w:sz w:val="18"/>
          <w:szCs w:val="18"/>
        </w:rPr>
        <w:t>COURSE OBJECTIVES</w:t>
      </w:r>
    </w:p>
    <w:p w14:paraId="6DE69975" w14:textId="77777777" w:rsidR="003C0B8D" w:rsidRDefault="000B1156">
      <w:pPr>
        <w:spacing w:before="60" w:after="100"/>
      </w:pPr>
      <w:r>
        <w:rPr>
          <w:color w:val="333333"/>
        </w:rPr>
        <w:t>Upon completion of this elective, students will be able to:</w:t>
      </w:r>
    </w:p>
    <w:p w14:paraId="429A22A7" w14:textId="77777777" w:rsidR="003C0B8D" w:rsidRDefault="000B1156">
      <w:pPr>
        <w:pStyle w:val="ListParagraph"/>
        <w:numPr>
          <w:ilvl w:val="0"/>
          <w:numId w:val="2"/>
        </w:numPr>
        <w:spacing w:before="40" w:after="40"/>
      </w:pPr>
      <w:r>
        <w:rPr>
          <w:color w:val="333333"/>
        </w:rPr>
        <w:t>Identify the appropriate imaging modality for common clinical presentations and apply ACR Appropriateness Criteria to imaging decisions across specialties.</w:t>
      </w:r>
    </w:p>
    <w:p w14:paraId="2E3031F7" w14:textId="77777777" w:rsidR="003C0B8D" w:rsidRDefault="000B1156">
      <w:pPr>
        <w:pStyle w:val="ListParagraph"/>
        <w:numPr>
          <w:ilvl w:val="0"/>
          <w:numId w:val="2"/>
        </w:numPr>
        <w:spacing w:before="40" w:after="40"/>
      </w:pPr>
      <w:r>
        <w:rPr>
          <w:color w:val="333333"/>
        </w:rPr>
        <w:t>Systematically approach and interpret plain films of the chest, abdomen, and musculoskeletal system, as well as common cross-sectional imaging findings on CT, MRI, and ultrasound.</w:t>
      </w:r>
    </w:p>
    <w:p w14:paraId="09F9ADA5" w14:textId="77777777" w:rsidR="003C0B8D" w:rsidRDefault="000B1156">
      <w:pPr>
        <w:pStyle w:val="ListParagraph"/>
        <w:numPr>
          <w:ilvl w:val="0"/>
          <w:numId w:val="2"/>
        </w:numPr>
        <w:spacing w:before="40" w:after="40"/>
      </w:pPr>
      <w:r>
        <w:rPr>
          <w:color w:val="333333"/>
        </w:rPr>
        <w:t>Recognize time-sensitive and high-acuity imaging diagnoses — including intracranial hemorrhage, pulmonary embolism, aortic dissection, bowel ischemia, and pneumothorax — that require immediate clinical action.</w:t>
      </w:r>
    </w:p>
    <w:p w14:paraId="4A874F69" w14:textId="77777777" w:rsidR="003C0B8D" w:rsidRDefault="000B1156">
      <w:pPr>
        <w:pStyle w:val="ListParagraph"/>
        <w:numPr>
          <w:ilvl w:val="0"/>
          <w:numId w:val="2"/>
        </w:numPr>
        <w:spacing w:before="40" w:after="40"/>
      </w:pPr>
      <w:r>
        <w:rPr>
          <w:color w:val="333333"/>
        </w:rPr>
        <w:lastRenderedPageBreak/>
        <w:t>Communicate effectively with radiologists by formulating accurate clinical questions and understanding the content of radiology reports.</w:t>
      </w:r>
    </w:p>
    <w:p w14:paraId="43FE3906" w14:textId="77777777" w:rsidR="003C0B8D" w:rsidRDefault="000B1156">
      <w:pPr>
        <w:pStyle w:val="ListParagraph"/>
        <w:numPr>
          <w:ilvl w:val="0"/>
          <w:numId w:val="2"/>
        </w:numPr>
        <w:spacing w:before="40" w:after="40"/>
      </w:pPr>
      <w:r>
        <w:rPr>
          <w:color w:val="333333"/>
        </w:rPr>
        <w:t>Describe the scope, workflow, and subspecialty structure of a modern academic radiology department.</w:t>
      </w:r>
    </w:p>
    <w:p w14:paraId="0ADE78C5" w14:textId="77777777" w:rsidR="003C0B8D" w:rsidRDefault="000B1156">
      <w:pPr>
        <w:pStyle w:val="ListParagraph"/>
        <w:numPr>
          <w:ilvl w:val="0"/>
          <w:numId w:val="2"/>
        </w:numPr>
        <w:spacing w:before="40" w:after="40"/>
      </w:pPr>
      <w:r>
        <w:rPr>
          <w:color w:val="333333"/>
        </w:rPr>
        <w:t>(Track A) Interpret foundational imaging studies across at least nine radiology subspecialties and articulate the career pathway to diagnostic radiology residency.</w:t>
      </w:r>
    </w:p>
    <w:p w14:paraId="13CBCC06" w14:textId="77777777" w:rsidR="003C0B8D" w:rsidRDefault="000B1156">
      <w:pPr>
        <w:pStyle w:val="ListParagraph"/>
        <w:numPr>
          <w:ilvl w:val="0"/>
          <w:numId w:val="2"/>
        </w:numPr>
        <w:spacing w:before="40" w:after="40"/>
      </w:pPr>
      <w:r>
        <w:rPr>
          <w:color w:val="333333"/>
        </w:rPr>
        <w:t>(Optional) Identify, write up, and submit a teaching case to ACR Case in Point, demonstrating academic initiative appropriate for a residency application.</w:t>
      </w:r>
    </w:p>
    <w:p w14:paraId="0C5ECD56" w14:textId="77777777" w:rsidR="003C0B8D" w:rsidRDefault="003C0B8D">
      <w:pPr>
        <w:pBdr>
          <w:bottom w:val="single" w:sz="4" w:space="1" w:color="461D7C"/>
        </w:pBdr>
        <w:spacing w:before="120" w:after="120"/>
      </w:pPr>
    </w:p>
    <w:p w14:paraId="2BF816D6" w14:textId="77777777" w:rsidR="003C0B8D" w:rsidRDefault="000B1156">
      <w:pPr>
        <w:spacing w:before="280" w:after="60"/>
      </w:pPr>
      <w:r>
        <w:rPr>
          <w:b/>
          <w:bCs/>
          <w:color w:val="461D7C"/>
          <w:spacing w:val="40"/>
          <w:sz w:val="18"/>
          <w:szCs w:val="18"/>
        </w:rPr>
        <w:t>ACADEMIC SECTIONS</w:t>
      </w:r>
    </w:p>
    <w:p w14:paraId="6790EB3A" w14:textId="77777777" w:rsidR="003C0B8D" w:rsidRDefault="000B1156">
      <w:pPr>
        <w:spacing w:before="60" w:after="100"/>
      </w:pPr>
      <w:r>
        <w:rPr>
          <w:color w:val="333333"/>
        </w:rPr>
        <w:t xml:space="preserve">Students rotate through the following reading room sections during the 9:15 AM – 12:00 PM daily shadowing block. Students are encouraged to visit every section over the course of the elective; Track B students may </w:t>
      </w:r>
      <w:proofErr w:type="gramStart"/>
      <w:r>
        <w:rPr>
          <w:color w:val="333333"/>
        </w:rPr>
        <w:t>concentrate time</w:t>
      </w:r>
      <w:proofErr w:type="gramEnd"/>
      <w:r>
        <w:rPr>
          <w:color w:val="333333"/>
        </w:rPr>
        <w:t xml:space="preserve"> </w:t>
      </w:r>
      <w:proofErr w:type="gramStart"/>
      <w:r>
        <w:rPr>
          <w:color w:val="333333"/>
        </w:rPr>
        <w:t>in</w:t>
      </w:r>
      <w:proofErr w:type="gramEnd"/>
      <w:r>
        <w:rPr>
          <w:color w:val="333333"/>
        </w:rPr>
        <w:t xml:space="preserve"> sections most relevant to their intended specialty.</w:t>
      </w:r>
    </w:p>
    <w:p w14:paraId="3D9D07F5" w14:textId="77777777" w:rsidR="003C0B8D" w:rsidRDefault="003C0B8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C0B8D" w14:paraId="02907677"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461D7C"/>
            <w:tcMar>
              <w:top w:w="80" w:type="dxa"/>
              <w:left w:w="120" w:type="dxa"/>
              <w:bottom w:w="80" w:type="dxa"/>
              <w:right w:w="120" w:type="dxa"/>
            </w:tcMar>
          </w:tcPr>
          <w:p w14:paraId="4C470D75" w14:textId="77777777" w:rsidR="003C0B8D" w:rsidRDefault="000B1156">
            <w:r>
              <w:rPr>
                <w:b/>
                <w:bCs/>
                <w:color w:val="FFFFFF"/>
                <w:sz w:val="20"/>
                <w:szCs w:val="20"/>
              </w:rPr>
              <w:t>Section</w:t>
            </w:r>
          </w:p>
        </w:tc>
        <w:tc>
          <w:tcPr>
            <w:tcW w:w="4680" w:type="dxa"/>
            <w:tcBorders>
              <w:top w:val="single" w:sz="1" w:space="0" w:color="CCCCCC"/>
              <w:left w:val="single" w:sz="1" w:space="0" w:color="CCCCCC"/>
              <w:bottom w:val="single" w:sz="1" w:space="0" w:color="CCCCCC"/>
              <w:right w:val="single" w:sz="1" w:space="0" w:color="CCCCCC"/>
            </w:tcBorders>
            <w:shd w:val="clear" w:color="auto" w:fill="461D7C"/>
            <w:tcMar>
              <w:top w:w="80" w:type="dxa"/>
              <w:left w:w="120" w:type="dxa"/>
              <w:bottom w:w="80" w:type="dxa"/>
              <w:right w:w="120" w:type="dxa"/>
            </w:tcMar>
          </w:tcPr>
          <w:p w14:paraId="5CDC17F8" w14:textId="77777777" w:rsidR="003C0B8D" w:rsidRDefault="000B1156">
            <w:r>
              <w:rPr>
                <w:b/>
                <w:bCs/>
                <w:color w:val="FFFFFF"/>
                <w:sz w:val="20"/>
                <w:szCs w:val="20"/>
              </w:rPr>
              <w:t>Section</w:t>
            </w:r>
          </w:p>
        </w:tc>
      </w:tr>
      <w:tr w:rsidR="003C0B8D" w14:paraId="2BC144F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0FC"/>
            <w:tcMar>
              <w:top w:w="80" w:type="dxa"/>
              <w:left w:w="120" w:type="dxa"/>
              <w:bottom w:w="80" w:type="dxa"/>
              <w:right w:w="120" w:type="dxa"/>
            </w:tcMar>
          </w:tcPr>
          <w:p w14:paraId="7B1D5FE2" w14:textId="77777777" w:rsidR="003C0B8D" w:rsidRDefault="000B1156">
            <w:r>
              <w:rPr>
                <w:color w:val="333333"/>
                <w:sz w:val="20"/>
                <w:szCs w:val="20"/>
              </w:rPr>
              <w:t>01 · Neuroradiology</w:t>
            </w:r>
          </w:p>
        </w:tc>
        <w:tc>
          <w:tcPr>
            <w:tcW w:w="4680" w:type="dxa"/>
            <w:tcBorders>
              <w:top w:val="single" w:sz="1" w:space="0" w:color="CCCCCC"/>
              <w:left w:val="single" w:sz="1" w:space="0" w:color="CCCCCC"/>
              <w:bottom w:val="single" w:sz="1" w:space="0" w:color="CCCCCC"/>
              <w:right w:val="single" w:sz="1" w:space="0" w:color="CCCCCC"/>
            </w:tcBorders>
            <w:shd w:val="clear" w:color="auto" w:fill="F5F0FC"/>
            <w:tcMar>
              <w:top w:w="80" w:type="dxa"/>
              <w:left w:w="120" w:type="dxa"/>
              <w:bottom w:w="80" w:type="dxa"/>
              <w:right w:w="120" w:type="dxa"/>
            </w:tcMar>
          </w:tcPr>
          <w:p w14:paraId="30F46B33" w14:textId="77777777" w:rsidR="003C0B8D" w:rsidRDefault="000B1156">
            <w:r>
              <w:rPr>
                <w:color w:val="333333"/>
                <w:sz w:val="20"/>
                <w:szCs w:val="20"/>
              </w:rPr>
              <w:t>06 · Nuclear Medicine</w:t>
            </w:r>
          </w:p>
        </w:tc>
      </w:tr>
      <w:tr w:rsidR="003C0B8D" w14:paraId="6B315C55"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7E9AFB" w14:textId="77777777" w:rsidR="003C0B8D" w:rsidRDefault="000B1156">
            <w:r>
              <w:rPr>
                <w:color w:val="333333"/>
                <w:sz w:val="20"/>
                <w:szCs w:val="20"/>
              </w:rPr>
              <w:t>02 · Chest &amp; Cardiothoracic</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0C6954" w14:textId="77777777" w:rsidR="003C0B8D" w:rsidRDefault="000B1156">
            <w:r>
              <w:rPr>
                <w:color w:val="333333"/>
                <w:sz w:val="20"/>
                <w:szCs w:val="20"/>
              </w:rPr>
              <w:t>07 · Breast Imaging</w:t>
            </w:r>
          </w:p>
        </w:tc>
      </w:tr>
      <w:tr w:rsidR="003C0B8D" w14:paraId="3AFDB3F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0FC"/>
            <w:tcMar>
              <w:top w:w="80" w:type="dxa"/>
              <w:left w:w="120" w:type="dxa"/>
              <w:bottom w:w="80" w:type="dxa"/>
              <w:right w:w="120" w:type="dxa"/>
            </w:tcMar>
          </w:tcPr>
          <w:p w14:paraId="5FB01825" w14:textId="77777777" w:rsidR="003C0B8D" w:rsidRDefault="000B1156">
            <w:r>
              <w:rPr>
                <w:color w:val="333333"/>
                <w:sz w:val="20"/>
                <w:szCs w:val="20"/>
              </w:rPr>
              <w:t>03 · Abdominal Imaging</w:t>
            </w:r>
          </w:p>
        </w:tc>
        <w:tc>
          <w:tcPr>
            <w:tcW w:w="4680" w:type="dxa"/>
            <w:tcBorders>
              <w:top w:val="single" w:sz="1" w:space="0" w:color="CCCCCC"/>
              <w:left w:val="single" w:sz="1" w:space="0" w:color="CCCCCC"/>
              <w:bottom w:val="single" w:sz="1" w:space="0" w:color="CCCCCC"/>
              <w:right w:val="single" w:sz="1" w:space="0" w:color="CCCCCC"/>
            </w:tcBorders>
            <w:shd w:val="clear" w:color="auto" w:fill="F5F0FC"/>
            <w:tcMar>
              <w:top w:w="80" w:type="dxa"/>
              <w:left w:w="120" w:type="dxa"/>
              <w:bottom w:w="80" w:type="dxa"/>
              <w:right w:w="120" w:type="dxa"/>
            </w:tcMar>
          </w:tcPr>
          <w:p w14:paraId="019B399C" w14:textId="77777777" w:rsidR="003C0B8D" w:rsidRDefault="000B1156">
            <w:r>
              <w:rPr>
                <w:color w:val="333333"/>
                <w:sz w:val="20"/>
                <w:szCs w:val="20"/>
              </w:rPr>
              <w:t>08 · Emergency Radiology</w:t>
            </w:r>
          </w:p>
        </w:tc>
      </w:tr>
      <w:tr w:rsidR="003C0B8D" w14:paraId="30F4FC2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ED0D14" w14:textId="77777777" w:rsidR="003C0B8D" w:rsidRDefault="000B1156">
            <w:r>
              <w:rPr>
                <w:color w:val="333333"/>
                <w:sz w:val="20"/>
                <w:szCs w:val="20"/>
              </w:rPr>
              <w:t>04 · Musculoskeletal (MSK)</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1B861D" w14:textId="77777777" w:rsidR="003C0B8D" w:rsidRDefault="000B1156">
            <w:r>
              <w:rPr>
                <w:color w:val="333333"/>
                <w:sz w:val="20"/>
                <w:szCs w:val="20"/>
              </w:rPr>
              <w:t>09 · Ultrasound</w:t>
            </w:r>
          </w:p>
        </w:tc>
      </w:tr>
      <w:tr w:rsidR="003C0B8D" w14:paraId="2D85AC7C"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0FC"/>
            <w:tcMar>
              <w:top w:w="80" w:type="dxa"/>
              <w:left w:w="120" w:type="dxa"/>
              <w:bottom w:w="80" w:type="dxa"/>
              <w:right w:w="120" w:type="dxa"/>
            </w:tcMar>
          </w:tcPr>
          <w:p w14:paraId="417B04B8" w14:textId="77777777" w:rsidR="003C0B8D" w:rsidRDefault="000B1156">
            <w:r>
              <w:rPr>
                <w:color w:val="333333"/>
                <w:sz w:val="20"/>
                <w:szCs w:val="20"/>
              </w:rPr>
              <w:t>05 · Interventional Radiology</w:t>
            </w:r>
          </w:p>
        </w:tc>
        <w:tc>
          <w:tcPr>
            <w:tcW w:w="4680" w:type="dxa"/>
            <w:tcBorders>
              <w:top w:val="single" w:sz="1" w:space="0" w:color="CCCCCC"/>
              <w:left w:val="single" w:sz="1" w:space="0" w:color="CCCCCC"/>
              <w:bottom w:val="single" w:sz="1" w:space="0" w:color="CCCCCC"/>
              <w:right w:val="single" w:sz="1" w:space="0" w:color="CCCCCC"/>
            </w:tcBorders>
            <w:shd w:val="clear" w:color="auto" w:fill="F5F0FC"/>
            <w:tcMar>
              <w:top w:w="80" w:type="dxa"/>
              <w:left w:w="120" w:type="dxa"/>
              <w:bottom w:w="80" w:type="dxa"/>
              <w:right w:w="120" w:type="dxa"/>
            </w:tcMar>
          </w:tcPr>
          <w:p w14:paraId="2770CD6E" w14:textId="77777777" w:rsidR="003C0B8D" w:rsidRDefault="003C0B8D"/>
        </w:tc>
      </w:tr>
    </w:tbl>
    <w:p w14:paraId="7C36DB5F" w14:textId="77777777" w:rsidR="003C0B8D" w:rsidRDefault="003C0B8D">
      <w:pPr>
        <w:pBdr>
          <w:bottom w:val="single" w:sz="4" w:space="1" w:color="461D7C"/>
        </w:pBdr>
        <w:spacing w:before="120" w:after="120"/>
      </w:pPr>
    </w:p>
    <w:p w14:paraId="5F8AD2E8" w14:textId="77777777" w:rsidR="003C0B8D" w:rsidRDefault="000B1156">
      <w:pPr>
        <w:spacing w:before="280" w:after="60"/>
      </w:pPr>
      <w:r>
        <w:rPr>
          <w:b/>
          <w:bCs/>
          <w:color w:val="461D7C"/>
          <w:spacing w:val="40"/>
          <w:sz w:val="18"/>
          <w:szCs w:val="18"/>
        </w:rPr>
        <w:t>REQUIRED &amp; RECOMMENDED READING</w:t>
      </w:r>
    </w:p>
    <w:p w14:paraId="6BC9F0CF" w14:textId="77777777" w:rsidR="003C0B8D" w:rsidRDefault="000B1156">
      <w:pPr>
        <w:spacing w:before="60" w:after="100"/>
      </w:pPr>
      <w:r>
        <w:rPr>
          <w:b/>
          <w:bCs/>
          <w:color w:val="333333"/>
        </w:rPr>
        <w:t>Online Resources (both tracks):</w:t>
      </w:r>
    </w:p>
    <w:p w14:paraId="3D282FEF" w14:textId="77777777" w:rsidR="003C0B8D" w:rsidRDefault="000B1156">
      <w:pPr>
        <w:pStyle w:val="ListParagraph"/>
        <w:numPr>
          <w:ilvl w:val="0"/>
          <w:numId w:val="2"/>
        </w:numPr>
        <w:spacing w:before="40" w:after="40"/>
      </w:pPr>
      <w:r>
        <w:rPr>
          <w:color w:val="333333"/>
        </w:rPr>
        <w:t>Radiology Assistant (radiologyassistant.nl) — comprehensive free resource covering all major radiology topics</w:t>
      </w:r>
    </w:p>
    <w:p w14:paraId="49C3ABAE" w14:textId="77777777" w:rsidR="003C0B8D" w:rsidRDefault="000B1156">
      <w:pPr>
        <w:pStyle w:val="ListParagraph"/>
        <w:numPr>
          <w:ilvl w:val="0"/>
          <w:numId w:val="2"/>
        </w:numPr>
        <w:spacing w:before="40" w:after="40"/>
      </w:pPr>
      <w:r>
        <w:rPr>
          <w:color w:val="333333"/>
        </w:rPr>
        <w:t>ACR Appropriateness Criteria (</w:t>
      </w:r>
      <w:proofErr w:type="gramStart"/>
      <w:r>
        <w:rPr>
          <w:color w:val="333333"/>
        </w:rPr>
        <w:t>gravitas.acr.org) —</w:t>
      </w:r>
      <w:proofErr w:type="gramEnd"/>
      <w:r>
        <w:rPr>
          <w:color w:val="333333"/>
        </w:rPr>
        <w:t xml:space="preserve"> evidence-based guidelines for imaging ordering; essential for Track B</w:t>
      </w:r>
    </w:p>
    <w:p w14:paraId="729E1377" w14:textId="77777777" w:rsidR="003C0B8D" w:rsidRDefault="000B1156">
      <w:pPr>
        <w:pStyle w:val="ListParagraph"/>
        <w:numPr>
          <w:ilvl w:val="0"/>
          <w:numId w:val="2"/>
        </w:numPr>
        <w:spacing w:before="40" w:after="40"/>
      </w:pPr>
      <w:r>
        <w:rPr>
          <w:color w:val="333333"/>
        </w:rPr>
        <w:t>Radiology Resident Core Lectures (</w:t>
      </w:r>
      <w:proofErr w:type="gramStart"/>
      <w:r>
        <w:rPr>
          <w:color w:val="333333"/>
        </w:rPr>
        <w:t>radiologyresidentcorelectures.com) —</w:t>
      </w:r>
      <w:proofErr w:type="gramEnd"/>
      <w:r>
        <w:rPr>
          <w:color w:val="333333"/>
        </w:rPr>
        <w:t xml:space="preserve"> ABR Core Exam-aligned lecture content; recommended for Track A</w:t>
      </w:r>
    </w:p>
    <w:p w14:paraId="355DB398" w14:textId="77777777" w:rsidR="003C0B8D" w:rsidRDefault="000B1156">
      <w:pPr>
        <w:pStyle w:val="ListParagraph"/>
        <w:numPr>
          <w:ilvl w:val="0"/>
          <w:numId w:val="2"/>
        </w:numPr>
        <w:spacing w:before="40" w:after="40"/>
      </w:pPr>
      <w:proofErr w:type="spellStart"/>
      <w:r>
        <w:rPr>
          <w:color w:val="333333"/>
        </w:rPr>
        <w:t>ARTicl</w:t>
      </w:r>
      <w:proofErr w:type="spellEnd"/>
      <w:r>
        <w:rPr>
          <w:color w:val="333333"/>
        </w:rPr>
        <w:t xml:space="preserve"> Diagnostic Radiology (articl.net/diagnostic-radiology) — concise cross-system reference</w:t>
      </w:r>
    </w:p>
    <w:p w14:paraId="66BF8F54" w14:textId="77777777" w:rsidR="003C0B8D" w:rsidRDefault="000B1156">
      <w:pPr>
        <w:pStyle w:val="ListParagraph"/>
        <w:numPr>
          <w:ilvl w:val="0"/>
          <w:numId w:val="2"/>
        </w:numPr>
        <w:spacing w:before="40" w:after="40"/>
      </w:pPr>
      <w:r>
        <w:rPr>
          <w:color w:val="333333"/>
        </w:rPr>
        <w:t>Radiology Cafe Basics (radiologycafe.com/radiology-</w:t>
      </w:r>
      <w:proofErr w:type="gramStart"/>
      <w:r>
        <w:rPr>
          <w:color w:val="333333"/>
        </w:rPr>
        <w:t>basics) —</w:t>
      </w:r>
      <w:proofErr w:type="gramEnd"/>
      <w:r>
        <w:rPr>
          <w:color w:val="333333"/>
        </w:rPr>
        <w:t xml:space="preserve"> accessible introduction for non-radiologists; recommended for Track B</w:t>
      </w:r>
    </w:p>
    <w:p w14:paraId="5DEA83CC" w14:textId="77777777" w:rsidR="003C0B8D" w:rsidRDefault="003C0B8D">
      <w:pPr>
        <w:spacing w:before="100"/>
      </w:pPr>
    </w:p>
    <w:p w14:paraId="08CF13BC" w14:textId="77777777" w:rsidR="003C0B8D" w:rsidRDefault="000B1156">
      <w:pPr>
        <w:spacing w:before="60" w:after="100"/>
      </w:pPr>
      <w:r>
        <w:rPr>
          <w:b/>
          <w:bCs/>
          <w:color w:val="333333"/>
        </w:rPr>
        <w:t>Textbooks — available in the UMC Radiology Conference Room:</w:t>
      </w:r>
    </w:p>
    <w:p w14:paraId="0B34D8FC" w14:textId="77777777" w:rsidR="003C0B8D" w:rsidRDefault="000B1156">
      <w:pPr>
        <w:pStyle w:val="ListParagraph"/>
        <w:numPr>
          <w:ilvl w:val="0"/>
          <w:numId w:val="2"/>
        </w:numPr>
        <w:spacing w:before="40" w:after="40"/>
      </w:pPr>
      <w:r>
        <w:rPr>
          <w:color w:val="333333"/>
        </w:rPr>
        <w:t>Brant and Helms: Fundamentals of Diagnostic Radiology — comprehensive multi-system reference (both tracks)</w:t>
      </w:r>
    </w:p>
    <w:p w14:paraId="0574EC2E" w14:textId="77777777" w:rsidR="003C0B8D" w:rsidRDefault="000B1156">
      <w:pPr>
        <w:pStyle w:val="ListParagraph"/>
        <w:numPr>
          <w:ilvl w:val="0"/>
          <w:numId w:val="2"/>
        </w:numPr>
        <w:spacing w:before="40" w:after="40"/>
      </w:pPr>
      <w:r>
        <w:rPr>
          <w:color w:val="333333"/>
        </w:rPr>
        <w:t>Felson's Principles of Chest Roentgenology — classic chest radiology primer (both tracks)</w:t>
      </w:r>
    </w:p>
    <w:p w14:paraId="71954FC3" w14:textId="77777777" w:rsidR="003C0B8D" w:rsidRDefault="000B1156">
      <w:pPr>
        <w:pStyle w:val="ListParagraph"/>
        <w:numPr>
          <w:ilvl w:val="0"/>
          <w:numId w:val="2"/>
        </w:numPr>
        <w:spacing w:before="40" w:after="40"/>
      </w:pPr>
      <w:proofErr w:type="spellStart"/>
      <w:r>
        <w:rPr>
          <w:color w:val="333333"/>
        </w:rPr>
        <w:t>RadCases</w:t>
      </w:r>
      <w:proofErr w:type="spellEnd"/>
      <w:r>
        <w:rPr>
          <w:color w:val="333333"/>
        </w:rPr>
        <w:t xml:space="preserve"> — case-based review series for pattern recognition (Track A)</w:t>
      </w:r>
    </w:p>
    <w:p w14:paraId="0821EEBE" w14:textId="77777777" w:rsidR="003C0B8D" w:rsidRDefault="003C0B8D">
      <w:pPr>
        <w:pBdr>
          <w:bottom w:val="single" w:sz="4" w:space="1" w:color="461D7C"/>
        </w:pBdr>
        <w:spacing w:before="120" w:after="120"/>
      </w:pPr>
    </w:p>
    <w:p w14:paraId="18D0AF17" w14:textId="77777777" w:rsidR="003C0B8D" w:rsidRDefault="000B1156">
      <w:pPr>
        <w:spacing w:before="280" w:after="60"/>
      </w:pPr>
      <w:r>
        <w:rPr>
          <w:b/>
          <w:bCs/>
          <w:color w:val="461D7C"/>
          <w:spacing w:val="40"/>
          <w:sz w:val="18"/>
          <w:szCs w:val="18"/>
        </w:rPr>
        <w:t>HONORS PATHWAY — ACR CASE IN POINT (CIP)</w:t>
      </w:r>
    </w:p>
    <w:p w14:paraId="18D9C473" w14:textId="77777777" w:rsidR="003C0B8D" w:rsidRDefault="000B1156">
      <w:pPr>
        <w:spacing w:before="60" w:after="120"/>
      </w:pPr>
      <w:r>
        <w:rPr>
          <w:color w:val="333333"/>
        </w:rPr>
        <w:t xml:space="preserve">Submission of an </w:t>
      </w:r>
      <w:r>
        <w:rPr>
          <w:b/>
          <w:bCs/>
          <w:color w:val="333333"/>
        </w:rPr>
        <w:t>ACR Case in Point</w:t>
      </w:r>
      <w:r>
        <w:rPr>
          <w:color w:val="333333"/>
        </w:rPr>
        <w:t xml:space="preserve"> article is the sole route to receive an Honors grade in this course. Participation is entirely optional. Honors consideration is based on the quality and timeliness of the </w:t>
      </w:r>
      <w:r>
        <w:rPr>
          <w:color w:val="333333"/>
        </w:rPr>
        <w:lastRenderedPageBreak/>
        <w:t xml:space="preserve">submission — </w:t>
      </w:r>
      <w:r>
        <w:rPr>
          <w:b/>
          <w:bCs/>
          <w:color w:val="333333"/>
        </w:rPr>
        <w:t>acceptance or publication is not required.</w:t>
      </w:r>
      <w:r>
        <w:rPr>
          <w:color w:val="333333"/>
        </w:rPr>
        <w:t xml:space="preserve"> Students are strongly encouraged to pursue this pathway: a </w:t>
      </w:r>
      <w:proofErr w:type="spellStart"/>
      <w:r>
        <w:rPr>
          <w:color w:val="333333"/>
        </w:rPr>
        <w:t>CiP</w:t>
      </w:r>
      <w:proofErr w:type="spellEnd"/>
      <w:r>
        <w:rPr>
          <w:color w:val="333333"/>
        </w:rPr>
        <w:t xml:space="preserve"> submission strengthens both the CV and residency interview narrative.</w:t>
      </w:r>
    </w:p>
    <w:p w14:paraId="75522101" w14:textId="77777777" w:rsidR="003C0B8D" w:rsidRDefault="003C0B8D">
      <w:pPr>
        <w:pBdr>
          <w:bottom w:val="single" w:sz="4" w:space="1" w:color="461D7C"/>
        </w:pBdr>
        <w:spacing w:before="120" w:after="120"/>
      </w:pPr>
    </w:p>
    <w:p w14:paraId="6AC90A2A" w14:textId="77777777" w:rsidR="003C0B8D" w:rsidRDefault="000B1156">
      <w:pPr>
        <w:spacing w:before="280" w:after="60"/>
      </w:pPr>
      <w:r>
        <w:rPr>
          <w:b/>
          <w:bCs/>
          <w:color w:val="461D7C"/>
          <w:spacing w:val="40"/>
          <w:sz w:val="18"/>
          <w:szCs w:val="18"/>
        </w:rPr>
        <w:t>METHOD OF EVALUATION</w:t>
      </w:r>
    </w:p>
    <w:p w14:paraId="3D97CF31" w14:textId="77777777" w:rsidR="003C0B8D" w:rsidRDefault="000B1156">
      <w:pPr>
        <w:spacing w:before="60" w:after="100"/>
      </w:pPr>
      <w:r>
        <w:rPr>
          <w:color w:val="333333"/>
        </w:rPr>
        <w:t>Student performance is assessed across the following criteria:</w:t>
      </w:r>
    </w:p>
    <w:p w14:paraId="03F44DDE" w14:textId="77777777" w:rsidR="003C0B8D" w:rsidRDefault="000B1156">
      <w:pPr>
        <w:pStyle w:val="ListParagraph"/>
        <w:numPr>
          <w:ilvl w:val="0"/>
          <w:numId w:val="2"/>
        </w:numPr>
        <w:spacing w:before="40" w:after="40"/>
      </w:pPr>
      <w:r>
        <w:rPr>
          <w:color w:val="333333"/>
        </w:rPr>
        <w:t>Attendance — presence at morning lectures, reading room sessions, and lunch conferences</w:t>
      </w:r>
    </w:p>
    <w:p w14:paraId="4E5BE091" w14:textId="77777777" w:rsidR="003C0B8D" w:rsidRDefault="000B1156">
      <w:pPr>
        <w:pStyle w:val="ListParagraph"/>
        <w:numPr>
          <w:ilvl w:val="0"/>
          <w:numId w:val="2"/>
        </w:numPr>
        <w:spacing w:before="40" w:after="40"/>
      </w:pPr>
      <w:r>
        <w:rPr>
          <w:color w:val="333333"/>
        </w:rPr>
        <w:t>Participation — engagement with attendings, residents, and peers in clinical and didactic settings</w:t>
      </w:r>
    </w:p>
    <w:p w14:paraId="35C2E6E1" w14:textId="77777777" w:rsidR="003C0B8D" w:rsidRDefault="000B1156">
      <w:pPr>
        <w:pStyle w:val="ListParagraph"/>
        <w:numPr>
          <w:ilvl w:val="0"/>
          <w:numId w:val="2"/>
        </w:numPr>
        <w:spacing w:before="40" w:after="40"/>
      </w:pPr>
      <w:r>
        <w:rPr>
          <w:color w:val="333333"/>
        </w:rPr>
        <w:t>Independent Study — demonstrated use of assigned reading resources and case libraries</w:t>
      </w:r>
    </w:p>
    <w:p w14:paraId="1120152A" w14:textId="77777777" w:rsidR="003C0B8D" w:rsidRDefault="000B1156">
      <w:pPr>
        <w:pStyle w:val="ListParagraph"/>
        <w:numPr>
          <w:ilvl w:val="0"/>
          <w:numId w:val="2"/>
        </w:numPr>
        <w:spacing w:before="40" w:after="40"/>
      </w:pPr>
      <w:r>
        <w:rPr>
          <w:color w:val="333333"/>
        </w:rPr>
        <w:t>Professionalism — conduct consistent with the standards of a fourth-year medical student</w:t>
      </w:r>
    </w:p>
    <w:p w14:paraId="16D8B46B" w14:textId="77777777" w:rsidR="003C0B8D" w:rsidRDefault="000B1156">
      <w:pPr>
        <w:pStyle w:val="ListParagraph"/>
        <w:numPr>
          <w:ilvl w:val="0"/>
          <w:numId w:val="2"/>
        </w:numPr>
        <w:spacing w:before="40" w:after="40"/>
      </w:pPr>
      <w:r>
        <w:rPr>
          <w:color w:val="333333"/>
        </w:rPr>
        <w:t>Honors (</w:t>
      </w:r>
      <w:proofErr w:type="gramStart"/>
      <w:r>
        <w:rPr>
          <w:color w:val="333333"/>
        </w:rPr>
        <w:t>optional) —</w:t>
      </w:r>
      <w:proofErr w:type="gramEnd"/>
      <w:r>
        <w:rPr>
          <w:color w:val="333333"/>
        </w:rPr>
        <w:t xml:space="preserve"> submission of an ACR Case in Point article by the final day of the elective</w:t>
      </w:r>
    </w:p>
    <w:p w14:paraId="128E1D47" w14:textId="77777777" w:rsidR="003C0B8D" w:rsidRDefault="003C0B8D">
      <w:pPr>
        <w:pBdr>
          <w:bottom w:val="single" w:sz="4" w:space="1" w:color="461D7C"/>
        </w:pBdr>
        <w:spacing w:before="120" w:after="120"/>
      </w:pPr>
    </w:p>
    <w:p w14:paraId="7105ED4E" w14:textId="77777777" w:rsidR="003C0B8D" w:rsidRDefault="000B1156">
      <w:pPr>
        <w:spacing w:before="160"/>
      </w:pPr>
      <w:r>
        <w:rPr>
          <w:color w:val="888888"/>
          <w:sz w:val="20"/>
          <w:szCs w:val="20"/>
        </w:rPr>
        <w:t xml:space="preserve">Questions? Contact </w:t>
      </w:r>
      <w:r>
        <w:rPr>
          <w:b/>
          <w:bCs/>
          <w:color w:val="461D7C"/>
          <w:sz w:val="20"/>
          <w:szCs w:val="20"/>
        </w:rPr>
        <w:t>Dr. David Smith</w:t>
      </w:r>
      <w:r>
        <w:rPr>
          <w:color w:val="888888"/>
          <w:sz w:val="20"/>
          <w:szCs w:val="20"/>
        </w:rPr>
        <w:t xml:space="preserve"> (dsmi18@lsuhsc.edu) or </w:t>
      </w:r>
      <w:r>
        <w:rPr>
          <w:b/>
          <w:bCs/>
          <w:color w:val="461D7C"/>
          <w:sz w:val="20"/>
          <w:szCs w:val="20"/>
        </w:rPr>
        <w:t>Heather Clary</w:t>
      </w:r>
      <w:r>
        <w:rPr>
          <w:color w:val="888888"/>
          <w:sz w:val="20"/>
          <w:szCs w:val="20"/>
        </w:rPr>
        <w:t xml:space="preserve"> (</w:t>
      </w:r>
      <w:proofErr w:type="gramStart"/>
      <w:r>
        <w:rPr>
          <w:color w:val="888888"/>
          <w:sz w:val="20"/>
          <w:szCs w:val="20"/>
        </w:rPr>
        <w:t>hclary@lsuhsc.edu)  ·</w:t>
      </w:r>
      <w:proofErr w:type="gramEnd"/>
      <w:r>
        <w:rPr>
          <w:color w:val="888888"/>
          <w:sz w:val="20"/>
          <w:szCs w:val="20"/>
        </w:rPr>
        <w:t xml:space="preserve">  Academic Office: 2021 Perdido St, Floor 7, New Orleans, LA 70112</w:t>
      </w:r>
    </w:p>
    <w:sectPr w:rsidR="003C0B8D">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geneva"/>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B35F4"/>
    <w:multiLevelType w:val="hybridMultilevel"/>
    <w:tmpl w:val="1DB2BC00"/>
    <w:lvl w:ilvl="0" w:tplc="DE86722E">
      <w:start w:val="1"/>
      <w:numFmt w:val="bullet"/>
      <w:lvlText w:val="◦"/>
      <w:lvlJc w:val="left"/>
      <w:pPr>
        <w:ind w:left="1200" w:hanging="360"/>
      </w:pPr>
      <w:rPr>
        <w:rFonts w:ascii="Arial" w:eastAsia="Arial" w:hAnsi="Arial" w:cs="Arial"/>
        <w:color w:val="888888"/>
        <w:sz w:val="18"/>
        <w:szCs w:val="18"/>
      </w:rPr>
    </w:lvl>
    <w:lvl w:ilvl="1" w:tplc="F24E391A">
      <w:numFmt w:val="decimal"/>
      <w:lvlText w:val=""/>
      <w:lvlJc w:val="left"/>
    </w:lvl>
    <w:lvl w:ilvl="2" w:tplc="F1D63AE6">
      <w:numFmt w:val="decimal"/>
      <w:lvlText w:val=""/>
      <w:lvlJc w:val="left"/>
    </w:lvl>
    <w:lvl w:ilvl="3" w:tplc="DA940590">
      <w:numFmt w:val="decimal"/>
      <w:lvlText w:val=""/>
      <w:lvlJc w:val="left"/>
    </w:lvl>
    <w:lvl w:ilvl="4" w:tplc="B3FC5762">
      <w:numFmt w:val="decimal"/>
      <w:lvlText w:val=""/>
      <w:lvlJc w:val="left"/>
    </w:lvl>
    <w:lvl w:ilvl="5" w:tplc="C63C82D4">
      <w:numFmt w:val="decimal"/>
      <w:lvlText w:val=""/>
      <w:lvlJc w:val="left"/>
    </w:lvl>
    <w:lvl w:ilvl="6" w:tplc="7DEC271E">
      <w:numFmt w:val="decimal"/>
      <w:lvlText w:val=""/>
      <w:lvlJc w:val="left"/>
    </w:lvl>
    <w:lvl w:ilvl="7" w:tplc="187CD048">
      <w:numFmt w:val="decimal"/>
      <w:lvlText w:val=""/>
      <w:lvlJc w:val="left"/>
    </w:lvl>
    <w:lvl w:ilvl="8" w:tplc="F47CC406">
      <w:numFmt w:val="decimal"/>
      <w:lvlText w:val=""/>
      <w:lvlJc w:val="left"/>
    </w:lvl>
  </w:abstractNum>
  <w:abstractNum w:abstractNumId="1" w15:restartNumberingAfterBreak="0">
    <w:nsid w:val="71F93748"/>
    <w:multiLevelType w:val="hybridMultilevel"/>
    <w:tmpl w:val="01AC81E8"/>
    <w:lvl w:ilvl="0" w:tplc="47EA52E6">
      <w:start w:val="1"/>
      <w:numFmt w:val="bullet"/>
      <w:lvlText w:val="●"/>
      <w:lvlJc w:val="left"/>
      <w:pPr>
        <w:ind w:left="720" w:hanging="360"/>
      </w:pPr>
      <w:rPr>
        <w:rFonts w:ascii="Arial" w:eastAsia="Arial" w:hAnsi="Arial" w:cs="Arial"/>
        <w:color w:val="461D7C"/>
        <w:sz w:val="20"/>
        <w:szCs w:val="20"/>
      </w:rPr>
    </w:lvl>
    <w:lvl w:ilvl="1" w:tplc="AE66FE32">
      <w:numFmt w:val="decimal"/>
      <w:lvlText w:val=""/>
      <w:lvlJc w:val="left"/>
    </w:lvl>
    <w:lvl w:ilvl="2" w:tplc="8402D1A8">
      <w:numFmt w:val="decimal"/>
      <w:lvlText w:val=""/>
      <w:lvlJc w:val="left"/>
    </w:lvl>
    <w:lvl w:ilvl="3" w:tplc="AA06119E">
      <w:numFmt w:val="decimal"/>
      <w:lvlText w:val=""/>
      <w:lvlJc w:val="left"/>
    </w:lvl>
    <w:lvl w:ilvl="4" w:tplc="260C12A8">
      <w:numFmt w:val="decimal"/>
      <w:lvlText w:val=""/>
      <w:lvlJc w:val="left"/>
    </w:lvl>
    <w:lvl w:ilvl="5" w:tplc="231C6F14">
      <w:numFmt w:val="decimal"/>
      <w:lvlText w:val=""/>
      <w:lvlJc w:val="left"/>
    </w:lvl>
    <w:lvl w:ilvl="6" w:tplc="B1DCE570">
      <w:numFmt w:val="decimal"/>
      <w:lvlText w:val=""/>
      <w:lvlJc w:val="left"/>
    </w:lvl>
    <w:lvl w:ilvl="7" w:tplc="BC64D802">
      <w:numFmt w:val="decimal"/>
      <w:lvlText w:val=""/>
      <w:lvlJc w:val="left"/>
    </w:lvl>
    <w:lvl w:ilvl="8" w:tplc="46709EA0">
      <w:numFmt w:val="decimal"/>
      <w:lvlText w:val=""/>
      <w:lvlJc w:val="left"/>
    </w:lvl>
  </w:abstractNum>
  <w:abstractNum w:abstractNumId="2" w15:restartNumberingAfterBreak="0">
    <w:nsid w:val="77D3341F"/>
    <w:multiLevelType w:val="hybridMultilevel"/>
    <w:tmpl w:val="823250C6"/>
    <w:lvl w:ilvl="0" w:tplc="1B42FB22">
      <w:start w:val="1"/>
      <w:numFmt w:val="bullet"/>
      <w:lvlText w:val="●"/>
      <w:lvlJc w:val="left"/>
      <w:pPr>
        <w:ind w:left="720" w:hanging="360"/>
      </w:pPr>
    </w:lvl>
    <w:lvl w:ilvl="1" w:tplc="0DA03398">
      <w:start w:val="1"/>
      <w:numFmt w:val="bullet"/>
      <w:lvlText w:val="○"/>
      <w:lvlJc w:val="left"/>
      <w:pPr>
        <w:ind w:left="1440" w:hanging="360"/>
      </w:pPr>
    </w:lvl>
    <w:lvl w:ilvl="2" w:tplc="CB18EF58">
      <w:start w:val="1"/>
      <w:numFmt w:val="bullet"/>
      <w:lvlText w:val="■"/>
      <w:lvlJc w:val="left"/>
      <w:pPr>
        <w:ind w:left="2160" w:hanging="360"/>
      </w:pPr>
    </w:lvl>
    <w:lvl w:ilvl="3" w:tplc="9926AB14">
      <w:start w:val="1"/>
      <w:numFmt w:val="bullet"/>
      <w:lvlText w:val="●"/>
      <w:lvlJc w:val="left"/>
      <w:pPr>
        <w:ind w:left="2880" w:hanging="360"/>
      </w:pPr>
    </w:lvl>
    <w:lvl w:ilvl="4" w:tplc="D39CB9E6">
      <w:start w:val="1"/>
      <w:numFmt w:val="bullet"/>
      <w:lvlText w:val="○"/>
      <w:lvlJc w:val="left"/>
      <w:pPr>
        <w:ind w:left="3600" w:hanging="360"/>
      </w:pPr>
    </w:lvl>
    <w:lvl w:ilvl="5" w:tplc="61FEA0E4">
      <w:start w:val="1"/>
      <w:numFmt w:val="bullet"/>
      <w:lvlText w:val="■"/>
      <w:lvlJc w:val="left"/>
      <w:pPr>
        <w:ind w:left="4320" w:hanging="360"/>
      </w:pPr>
    </w:lvl>
    <w:lvl w:ilvl="6" w:tplc="C04E1010">
      <w:start w:val="1"/>
      <w:numFmt w:val="bullet"/>
      <w:lvlText w:val="●"/>
      <w:lvlJc w:val="left"/>
      <w:pPr>
        <w:ind w:left="5040" w:hanging="360"/>
      </w:pPr>
    </w:lvl>
    <w:lvl w:ilvl="7" w:tplc="99000F86">
      <w:start w:val="1"/>
      <w:numFmt w:val="bullet"/>
      <w:lvlText w:val="●"/>
      <w:lvlJc w:val="left"/>
      <w:pPr>
        <w:ind w:left="5760" w:hanging="360"/>
      </w:pPr>
    </w:lvl>
    <w:lvl w:ilvl="8" w:tplc="F5C07694">
      <w:start w:val="1"/>
      <w:numFmt w:val="bullet"/>
      <w:lvlText w:val="●"/>
      <w:lvlJc w:val="left"/>
      <w:pPr>
        <w:ind w:left="6480" w:hanging="360"/>
      </w:pPr>
    </w:lvl>
  </w:abstractNum>
  <w:num w:numId="1" w16cid:durableId="726101803">
    <w:abstractNumId w:val="2"/>
    <w:lvlOverride w:ilvl="0">
      <w:startOverride w:val="1"/>
    </w:lvlOverride>
  </w:num>
  <w:num w:numId="2" w16cid:durableId="10129552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8D"/>
    <w:rsid w:val="000B1156"/>
    <w:rsid w:val="003C0B8D"/>
    <w:rsid w:val="0078677F"/>
    <w:rsid w:val="0092734E"/>
    <w:rsid w:val="00AF4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8C3C"/>
  <w15:docId w15:val="{7A031EE9-BA95-42D4-87DA-9F03657D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461D7C"/>
      <w:sz w:val="36"/>
      <w:szCs w:val="36"/>
    </w:rPr>
  </w:style>
  <w:style w:type="paragraph" w:styleId="Heading2">
    <w:name w:val="heading 2"/>
    <w:uiPriority w:val="9"/>
    <w:semiHidden/>
    <w:unhideWhenUsed/>
    <w:qFormat/>
    <w:pPr>
      <w:spacing w:before="240" w:after="100"/>
      <w:outlineLvl w:val="1"/>
    </w:pPr>
    <w:rPr>
      <w:b/>
      <w:bCs/>
      <w:color w:val="461D7C"/>
      <w:sz w:val="28"/>
      <w:szCs w:val="28"/>
    </w:rPr>
  </w:style>
  <w:style w:type="paragraph" w:styleId="Heading3">
    <w:name w:val="heading 3"/>
    <w:uiPriority w:val="9"/>
    <w:semiHidden/>
    <w:unhideWhenUsed/>
    <w:qFormat/>
    <w:pPr>
      <w:spacing w:before="180" w:after="80"/>
      <w:outlineLvl w:val="2"/>
    </w:pPr>
    <w:rPr>
      <w:b/>
      <w:bCs/>
      <w:color w:val="461D7C"/>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4565</Characters>
  <Application>Microsoft Office Word</Application>
  <DocSecurity>0</DocSecurity>
  <Lines>285</Lines>
  <Paragraphs>212</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Clary, Heather B.</cp:lastModifiedBy>
  <cp:revision>3</cp:revision>
  <dcterms:created xsi:type="dcterms:W3CDTF">2026-04-27T15:52:00Z</dcterms:created>
  <dcterms:modified xsi:type="dcterms:W3CDTF">2026-04-27T15:52:00Z</dcterms:modified>
</cp:coreProperties>
</file>